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50" w:after="150" w:line="240" w:lineRule="auto"/>
        <w:jc w:val="center"/>
        <w:rPr>
          <w:rFonts w:ascii="仿宋_GB2312" w:hAnsi="Times New Roman" w:eastAsia="仿宋_GB2312"/>
          <w:color w:val="000000" w:themeColor="text1"/>
          <w:kern w:val="0"/>
          <w:szCs w:val="21"/>
        </w:rPr>
      </w:pPr>
      <w:bookmarkStart w:id="0" w:name="_GoBack"/>
      <w:r>
        <w:rPr>
          <w:rFonts w:hint="eastAsia" w:ascii="仿宋_GB2312" w:hAnsi="仿宋_GB2312" w:eastAsia="仿宋_GB2312"/>
          <w:b/>
          <w:color w:val="000000"/>
          <w:sz w:val="36"/>
          <w:szCs w:val="36"/>
          <w:lang w:eastAsia="zh-CN"/>
        </w:rPr>
        <w:t>郑州西亚斯学院</w:t>
      </w:r>
      <w:r>
        <w:rPr>
          <w:rFonts w:hint="eastAsia" w:ascii="仿宋_GB2312" w:hAnsi="仿宋_GB2312" w:eastAsia="仿宋_GB2312"/>
          <w:b/>
          <w:color w:val="000000"/>
          <w:sz w:val="36"/>
          <w:szCs w:val="36"/>
        </w:rPr>
        <w:t>研究生导师简介</w:t>
      </w:r>
      <w:bookmarkEnd w:id="0"/>
    </w:p>
    <w:p>
      <w:pPr>
        <w:widowControl/>
        <w:spacing w:line="240" w:lineRule="auto"/>
        <w:rPr>
          <w:rFonts w:ascii="仿宋_GB2312" w:hAnsi="Times New Roman" w:eastAsia="仿宋_GB2312"/>
          <w:b/>
          <w:color w:val="000000" w:themeColor="text1"/>
          <w:kern w:val="0"/>
          <w:szCs w:val="21"/>
        </w:rPr>
      </w:pPr>
      <w:r>
        <w:rPr>
          <w:rFonts w:ascii="仿宋_GB2312" w:hAnsi="Times New Roman" w:eastAsia="仿宋_GB2312"/>
          <w:b/>
          <w:color w:val="000000" w:themeColor="text1"/>
          <w:kern w:val="0"/>
          <w:szCs w:val="21"/>
        </w:rPr>
        <w:drawing>
          <wp:anchor distT="0" distB="0" distL="114300" distR="114300" simplePos="0" relativeHeight="251658240" behindDoc="0" locked="0" layoutInCell="1" allowOverlap="1">
            <wp:simplePos x="0" y="0"/>
            <wp:positionH relativeFrom="margin">
              <wp:posOffset>3221990</wp:posOffset>
            </wp:positionH>
            <wp:positionV relativeFrom="margin">
              <wp:posOffset>994410</wp:posOffset>
            </wp:positionV>
            <wp:extent cx="2563495" cy="1798955"/>
            <wp:effectExtent l="0" t="381000" r="0" b="372745"/>
            <wp:wrapSquare wrapText="bothSides"/>
            <wp:docPr id="3" name="图片 3" descr="E:\王彦彭\王彦彭工作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王彦彭\王彦彭工作照.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rot="16200000">
                      <a:off x="0" y="0"/>
                      <a:ext cx="2563495" cy="1798955"/>
                    </a:xfrm>
                    <a:prstGeom prst="rect">
                      <a:avLst/>
                    </a:prstGeom>
                    <a:noFill/>
                    <a:ln>
                      <a:noFill/>
                    </a:ln>
                  </pic:spPr>
                </pic:pic>
              </a:graphicData>
            </a:graphic>
          </wp:anchor>
        </w:drawing>
      </w:r>
    </w:p>
    <w:p>
      <w:pPr>
        <w:autoSpaceDN w:val="0"/>
        <w:spacing w:line="270" w:lineRule="atLeast"/>
        <w:ind w:firstLine="560"/>
        <w:jc w:val="both"/>
        <w:rPr>
          <w:rFonts w:ascii="仿宋_GB2312" w:hAnsi="Times New Roman" w:eastAsia="仿宋_GB2312"/>
          <w:color w:val="000000"/>
          <w:szCs w:val="21"/>
        </w:rPr>
      </w:pPr>
      <w:r>
        <w:rPr>
          <w:rFonts w:hint="eastAsia" w:ascii="仿宋_GB2312" w:hAnsi="Times New Roman" w:eastAsia="仿宋_GB2312"/>
          <w:color w:val="000000"/>
          <w:szCs w:val="21"/>
        </w:rPr>
        <w:t>王彦彭，男，汉族，1981年12月生，副教授，统计学博士，郑州大学西亚斯国际学院商学院副院长，河南省教育厅学术技术带头人、河南省应用统计学会理事，郑州大学西亚斯国际学院中青年骨干教师、学术委员会委员，2012－2013学年优秀教师、科研工作先进个人、优秀论文指导教师，2014－2015年先进个人、2014－2015学年优秀教师，指导学生参加第七届、第八届大学生市场调查与分析大赛河南省分赛荣获二等奖并荣获最佳辅导教师荣誉称号，2015－2016学年、2016－2017学年、2017－2018学年连续三个学年的第二学期教师课堂教学质量综合评价中综合成绩排名前25%。</w:t>
      </w:r>
    </w:p>
    <w:p>
      <w:pPr>
        <w:autoSpaceDN w:val="0"/>
        <w:spacing w:line="270" w:lineRule="atLeast"/>
        <w:ind w:firstLine="560"/>
        <w:jc w:val="both"/>
        <w:rPr>
          <w:rFonts w:ascii="仿宋_GB2312" w:hAnsi="Times New Roman" w:eastAsia="仿宋_GB2312"/>
          <w:color w:val="000000"/>
          <w:szCs w:val="21"/>
        </w:rPr>
      </w:pPr>
      <w:r>
        <w:rPr>
          <w:rFonts w:hint="eastAsia" w:ascii="仿宋_GB2312" w:hAnsi="Times New Roman" w:eastAsia="仿宋_GB2312"/>
          <w:b/>
          <w:color w:val="000000"/>
          <w:szCs w:val="21"/>
        </w:rPr>
        <w:t>主要研究方向：</w:t>
      </w:r>
      <w:r>
        <w:rPr>
          <w:rFonts w:hint="eastAsia" w:ascii="仿宋_GB2312" w:hAnsi="Times New Roman" w:eastAsia="仿宋_GB2312"/>
          <w:color w:val="000000"/>
          <w:szCs w:val="21"/>
        </w:rPr>
        <w:t>资源环境经济学；生态文明建设；新型城镇化建设。</w:t>
      </w:r>
    </w:p>
    <w:p>
      <w:pPr>
        <w:autoSpaceDN w:val="0"/>
        <w:spacing w:line="270" w:lineRule="atLeast"/>
        <w:ind w:firstLine="560"/>
        <w:jc w:val="both"/>
        <w:rPr>
          <w:rFonts w:ascii="仿宋_GB2312" w:hAnsi="Times New Roman" w:eastAsia="仿宋_GB2312"/>
          <w:b/>
          <w:color w:val="000000"/>
          <w:szCs w:val="21"/>
        </w:rPr>
      </w:pPr>
      <w:r>
        <w:rPr>
          <w:rFonts w:hint="eastAsia" w:ascii="仿宋_GB2312" w:hAnsi="Times New Roman" w:eastAsia="仿宋_GB2312"/>
          <w:b/>
          <w:color w:val="000000"/>
          <w:szCs w:val="21"/>
        </w:rPr>
        <w:t>主要代表性研究成果:</w:t>
      </w:r>
    </w:p>
    <w:p>
      <w:pPr>
        <w:autoSpaceDN w:val="0"/>
        <w:spacing w:line="270" w:lineRule="atLeast"/>
        <w:ind w:firstLine="560"/>
        <w:jc w:val="both"/>
        <w:rPr>
          <w:rFonts w:ascii="仿宋_GB2312" w:hAnsi="Times New Roman" w:eastAsia="仿宋_GB2312"/>
          <w:b/>
          <w:color w:val="000000"/>
          <w:szCs w:val="21"/>
        </w:rPr>
      </w:pPr>
      <w:r>
        <w:rPr>
          <w:rFonts w:hint="eastAsia" w:ascii="仿宋_GB2312" w:hAnsi="Times New Roman" w:eastAsia="仿宋_GB2312"/>
          <w:b/>
          <w:color w:val="000000"/>
          <w:szCs w:val="21"/>
        </w:rPr>
        <w:t>1．获得省部级及以上奖励1项</w:t>
      </w:r>
    </w:p>
    <w:p>
      <w:pPr>
        <w:autoSpaceDN w:val="0"/>
        <w:spacing w:line="270" w:lineRule="atLeast"/>
        <w:ind w:firstLine="560"/>
        <w:jc w:val="both"/>
        <w:rPr>
          <w:rFonts w:ascii="仿宋_GB2312" w:hAnsi="Times New Roman" w:eastAsia="仿宋_GB2312"/>
          <w:color w:val="000000"/>
          <w:szCs w:val="21"/>
        </w:rPr>
      </w:pPr>
      <w:r>
        <w:rPr>
          <w:rFonts w:hint="eastAsia" w:ascii="仿宋_GB2312" w:hAnsi="Times New Roman" w:eastAsia="仿宋_GB2312"/>
          <w:color w:val="000000"/>
          <w:szCs w:val="21"/>
        </w:rPr>
        <w:t>2013年度河南省社会科学优秀成果奖贰等奖:《“十二五”时期工业节能潜力与目标分析》 (排名第二)</w:t>
      </w:r>
    </w:p>
    <w:p>
      <w:pPr>
        <w:autoSpaceDN w:val="0"/>
        <w:spacing w:line="270" w:lineRule="atLeast"/>
        <w:ind w:firstLine="560"/>
        <w:jc w:val="both"/>
        <w:rPr>
          <w:rFonts w:ascii="仿宋_GB2312" w:hAnsi="Times New Roman" w:eastAsia="仿宋_GB2312"/>
          <w:b/>
          <w:color w:val="000000"/>
          <w:szCs w:val="21"/>
        </w:rPr>
      </w:pPr>
      <w:r>
        <w:rPr>
          <w:rFonts w:hint="eastAsia" w:ascii="仿宋_GB2312" w:hAnsi="Times New Roman" w:eastAsia="仿宋_GB2312"/>
          <w:b/>
          <w:color w:val="000000"/>
          <w:szCs w:val="21"/>
        </w:rPr>
        <w:t>2．主持省部级以上科研项目5项</w:t>
      </w:r>
    </w:p>
    <w:p>
      <w:pPr>
        <w:pStyle w:val="14"/>
        <w:numPr>
          <w:ilvl w:val="0"/>
          <w:numId w:val="1"/>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2017年度河南省政府决策招标项目：《中原城市群竞争力测度与评价》（2017B188）2017.10-2018.10,结项.</w:t>
      </w:r>
    </w:p>
    <w:p>
      <w:pPr>
        <w:pStyle w:val="14"/>
        <w:numPr>
          <w:ilvl w:val="0"/>
          <w:numId w:val="1"/>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2014年度河南省政府决策招标一般项目:《提升河南省城市综合承载能力研究》,(2014224)2014.6-2015.6,结项.</w:t>
      </w:r>
    </w:p>
    <w:p>
      <w:pPr>
        <w:pStyle w:val="14"/>
        <w:numPr>
          <w:ilvl w:val="0"/>
          <w:numId w:val="1"/>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2014年度河南省软科学研究计划项目:《中部六省生态文明建设目标体系与测度研究》(142400410157),2014.4-2016.4,结项.</w:t>
      </w:r>
    </w:p>
    <w:p>
      <w:pPr>
        <w:pStyle w:val="14"/>
        <w:numPr>
          <w:ilvl w:val="0"/>
          <w:numId w:val="1"/>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2012年度河南省政府决策研究招标课题:《河南省能源问题研究》(2012B674),已结项(优秀).</w:t>
      </w:r>
    </w:p>
    <w:p>
      <w:pPr>
        <w:pStyle w:val="14"/>
        <w:numPr>
          <w:ilvl w:val="0"/>
          <w:numId w:val="1"/>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2011年度河南省软科学研究计划项目:《“十二五”时期河南省节能减排潜力与实现路径分析》,已结项.</w:t>
      </w:r>
    </w:p>
    <w:p>
      <w:pPr>
        <w:autoSpaceDN w:val="0"/>
        <w:spacing w:line="270" w:lineRule="atLeast"/>
        <w:ind w:firstLine="560"/>
        <w:jc w:val="both"/>
        <w:rPr>
          <w:rFonts w:ascii="仿宋_GB2312" w:hAnsi="Times New Roman" w:eastAsia="仿宋_GB2312"/>
          <w:b/>
          <w:color w:val="000000"/>
          <w:szCs w:val="21"/>
        </w:rPr>
      </w:pPr>
      <w:r>
        <w:rPr>
          <w:rFonts w:hint="eastAsia" w:ascii="仿宋_GB2312" w:hAnsi="Times New Roman" w:eastAsia="仿宋_GB2312"/>
          <w:b/>
          <w:color w:val="000000"/>
          <w:szCs w:val="21"/>
        </w:rPr>
        <w:t>3．发表核心期刊以上论文15篇</w:t>
      </w:r>
    </w:p>
    <w:p>
      <w:pPr>
        <w:pStyle w:val="14"/>
        <w:numPr>
          <w:ilvl w:val="0"/>
          <w:numId w:val="2"/>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新经济地理学视角下商业集聚与城镇化耦合关系分析——来自中原城市群17城市的经验证据，《商业经济研究》(经济类核心期刊),2018(14): 146-149.(第一作者)</w:t>
      </w:r>
    </w:p>
    <w:p>
      <w:pPr>
        <w:pStyle w:val="14"/>
        <w:numPr>
          <w:ilvl w:val="0"/>
          <w:numId w:val="2"/>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近年来新型城镇化建设资金保障创新的实践与思考，《现代城市研究》(经济类核心期刊),2018(3): 88-95. (独著)</w:t>
      </w:r>
    </w:p>
    <w:p>
      <w:pPr>
        <w:pStyle w:val="14"/>
        <w:numPr>
          <w:ilvl w:val="0"/>
          <w:numId w:val="2"/>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我国生态文明建设的测度与比较,《统计与决策》(中文核心期刊),2017(3):70-73. (独著)</w:t>
      </w:r>
    </w:p>
    <w:p>
      <w:pPr>
        <w:pStyle w:val="14"/>
        <w:numPr>
          <w:ilvl w:val="0"/>
          <w:numId w:val="2"/>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中部六省生态文明建设的测度与比较,《企业经济》(中文核心期刊),2015(9): 92-101. (独著)</w:t>
      </w:r>
    </w:p>
    <w:p>
      <w:pPr>
        <w:pStyle w:val="14"/>
        <w:numPr>
          <w:ilvl w:val="0"/>
          <w:numId w:val="2"/>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河南省能源消费碳排放的演变与预测,《企业经济》(中文核心期刊),2013(6): 26-32.(独著)</w:t>
      </w:r>
    </w:p>
    <w:p>
      <w:pPr>
        <w:pStyle w:val="14"/>
        <w:numPr>
          <w:ilvl w:val="0"/>
          <w:numId w:val="2"/>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“十二五”时期工业节能潜力与目标分析,《中国工业经济》(CCSCI来源期刊,中文核心期刊工业经济类第1名),2013(3): 46-58.(合著,第二，获省部级二等奖)</w:t>
      </w:r>
    </w:p>
    <w:p>
      <w:pPr>
        <w:pStyle w:val="14"/>
        <w:numPr>
          <w:ilvl w:val="0"/>
          <w:numId w:val="2"/>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“十二五”时期我国节能潜力与节能降耗目标分析,《企业经济》(中文核心期刊), 2012(10): 139-146.(独著)</w:t>
      </w:r>
    </w:p>
    <w:p>
      <w:pPr>
        <w:pStyle w:val="14"/>
        <w:numPr>
          <w:ilvl w:val="0"/>
          <w:numId w:val="2"/>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关于我国国家战略经济区过度供给的思考,《商业时代》(中文核心期刊), 2012(18):131-134.(独著)</w:t>
      </w:r>
    </w:p>
    <w:p>
      <w:pPr>
        <w:pStyle w:val="14"/>
        <w:numPr>
          <w:ilvl w:val="0"/>
          <w:numId w:val="2"/>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我国生态承载力的综合评价与比较,《统计与决策》(CSSCI来源期刊,中文核心期刊),2012(7).(独著)</w:t>
      </w:r>
    </w:p>
    <w:p>
      <w:pPr>
        <w:pStyle w:val="14"/>
        <w:numPr>
          <w:ilvl w:val="0"/>
          <w:numId w:val="2"/>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我国节能减排进程的评价与比较，《技术经济与管理研究》（经济类核心期刊），2010(6).(独著)</w:t>
      </w:r>
    </w:p>
    <w:p>
      <w:pPr>
        <w:pStyle w:val="14"/>
        <w:numPr>
          <w:ilvl w:val="0"/>
          <w:numId w:val="2"/>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基于能源生产成本和能源消费二重性的可持续发展模型，，《统计与决策》（统计类核心期刊，CSSCI来源期刊），2009(16).(独著)</w:t>
      </w:r>
    </w:p>
    <w:p>
      <w:pPr>
        <w:pStyle w:val="14"/>
        <w:numPr>
          <w:ilvl w:val="0"/>
          <w:numId w:val="2"/>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我国节能减排指标体系分析，《煤炭经济研究》（经济类核心期刊），2009(2).(独著)</w:t>
      </w:r>
    </w:p>
    <w:p>
      <w:pPr>
        <w:pStyle w:val="14"/>
        <w:numPr>
          <w:ilvl w:val="0"/>
          <w:numId w:val="2"/>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中部六省环境污染与经济增长关系的实证分析，《企业经济》（经济类核心期刊），2008(8).(独著)</w:t>
      </w:r>
    </w:p>
    <w:p>
      <w:pPr>
        <w:pStyle w:val="14"/>
        <w:numPr>
          <w:ilvl w:val="0"/>
          <w:numId w:val="2"/>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中国物价波动与经济增长关系的实证分析，《工业技术经济》（经济类核心期刊），2008(6).(独著)</w:t>
      </w:r>
    </w:p>
    <w:p>
      <w:pPr>
        <w:pStyle w:val="14"/>
        <w:numPr>
          <w:ilvl w:val="0"/>
          <w:numId w:val="2"/>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中部六省全面小康实现程度的评价与比较，《中国工业经济》(CCSCI来源期刊,中文核心期刊工业经济类第1名),2007(3).(第二作者)</w:t>
      </w:r>
    </w:p>
    <w:p>
      <w:pPr>
        <w:autoSpaceDN w:val="0"/>
        <w:spacing w:line="270" w:lineRule="atLeast"/>
        <w:ind w:firstLine="560"/>
        <w:jc w:val="both"/>
        <w:rPr>
          <w:rFonts w:ascii="仿宋_GB2312" w:hAnsi="Times New Roman" w:eastAsia="仿宋_GB2312"/>
          <w:b/>
          <w:color w:val="000000"/>
          <w:szCs w:val="21"/>
        </w:rPr>
      </w:pPr>
      <w:r>
        <w:rPr>
          <w:rFonts w:hint="eastAsia" w:ascii="仿宋_GB2312" w:hAnsi="Times New Roman" w:eastAsia="仿宋_GB2312"/>
          <w:b/>
          <w:color w:val="000000"/>
          <w:szCs w:val="21"/>
        </w:rPr>
        <w:t>4.主编参编的专著2部</w:t>
      </w:r>
    </w:p>
    <w:p>
      <w:pPr>
        <w:pStyle w:val="14"/>
        <w:numPr>
          <w:ilvl w:val="0"/>
          <w:numId w:val="3"/>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《河南省节能减排数量分析与实现路径研究》,中国工商出版社,2013年6月(ISBN 978-7-80215-623-4/TK.1)(第一主编,23万字)</w:t>
      </w:r>
    </w:p>
    <w:p>
      <w:pPr>
        <w:pStyle w:val="14"/>
        <w:numPr>
          <w:ilvl w:val="0"/>
          <w:numId w:val="3"/>
        </w:numPr>
        <w:autoSpaceDN w:val="0"/>
        <w:spacing w:line="270" w:lineRule="atLeast"/>
        <w:ind w:firstLineChars="0"/>
        <w:jc w:val="both"/>
        <w:rPr>
          <w:rFonts w:ascii="仿宋_GB2312" w:hAnsi="Times New Roman" w:eastAsia="仿宋_GB2312"/>
          <w:color w:val="000000"/>
          <w:szCs w:val="21"/>
        </w:rPr>
      </w:pPr>
      <w:r>
        <w:rPr>
          <w:rFonts w:hint="eastAsia" w:ascii="仿宋_GB2312" w:hAnsi="Times New Roman" w:eastAsia="仿宋_GB2312"/>
          <w:color w:val="000000"/>
          <w:szCs w:val="21"/>
        </w:rPr>
        <w:t>《中部六省生态文明建设目标体系与测度研究》,中国市场出版社,2015年12月(ISBN 9787-7-5092-1457-2/X321.2)(第一主编,22万字)</w:t>
      </w:r>
    </w:p>
    <w:p>
      <w:pPr>
        <w:autoSpaceDN w:val="0"/>
        <w:spacing w:line="270" w:lineRule="atLeast"/>
        <w:ind w:firstLine="560"/>
        <w:jc w:val="both"/>
        <w:rPr>
          <w:rFonts w:ascii="仿宋_GB2312" w:hAnsi="Times New Roman" w:eastAsia="仿宋_GB2312"/>
          <w:color w:val="000000"/>
          <w:szCs w:val="21"/>
        </w:rPr>
      </w:pPr>
    </w:p>
    <w:p>
      <w:pPr>
        <w:autoSpaceDN w:val="0"/>
        <w:spacing w:line="270" w:lineRule="atLeast"/>
        <w:ind w:firstLine="560"/>
        <w:jc w:val="both"/>
        <w:rPr>
          <w:rFonts w:ascii="仿宋_GB2312" w:hAnsi="Times New Roman" w:eastAsia="仿宋_GB2312"/>
          <w:color w:val="000000"/>
          <w:szCs w:val="21"/>
        </w:rPr>
      </w:pPr>
      <w:r>
        <w:rPr>
          <w:rFonts w:hint="eastAsia" w:ascii="仿宋_GB2312" w:hAnsi="Times New Roman" w:eastAsia="仿宋_GB2312"/>
          <w:color w:val="000000"/>
          <w:szCs w:val="21"/>
        </w:rPr>
        <w:t>联系方式：0371－62601900；手机：15003826359</w:t>
      </w:r>
    </w:p>
    <w:p>
      <w:pPr>
        <w:autoSpaceDN w:val="0"/>
        <w:spacing w:line="270" w:lineRule="atLeast"/>
        <w:ind w:firstLine="560"/>
        <w:jc w:val="both"/>
        <w:rPr>
          <w:rFonts w:ascii="仿宋_GB2312" w:hAnsi="Times New Roman" w:eastAsia="仿宋_GB2312"/>
          <w:color w:val="000000"/>
          <w:szCs w:val="21"/>
        </w:rPr>
      </w:pPr>
      <w:r>
        <w:rPr>
          <w:rFonts w:hint="eastAsia" w:ascii="仿宋_GB2312" w:hAnsi="Times New Roman" w:eastAsia="仿宋_GB2312"/>
          <w:color w:val="000000"/>
          <w:szCs w:val="21"/>
        </w:rPr>
        <w:t>E-mail：</w:t>
      </w:r>
      <w:r>
        <w:fldChar w:fldCharType="begin"/>
      </w:r>
      <w:r>
        <w:instrText xml:space="preserve"> HYPERLINK "mailto:yanpeng1682@sina.com" </w:instrText>
      </w:r>
      <w:r>
        <w:fldChar w:fldCharType="separate"/>
      </w:r>
      <w:r>
        <w:rPr>
          <w:rStyle w:val="10"/>
          <w:rFonts w:hint="eastAsia" w:ascii="仿宋_GB2312" w:hAnsi="Times New Roman" w:eastAsia="仿宋_GB2312"/>
          <w:szCs w:val="21"/>
        </w:rPr>
        <w:t>yanpeng1682@sina.com</w:t>
      </w:r>
      <w:r>
        <w:rPr>
          <w:rStyle w:val="10"/>
          <w:rFonts w:hint="eastAsia" w:ascii="仿宋_GB2312" w:hAnsi="Times New Roman" w:eastAsia="仿宋_GB2312"/>
          <w:szCs w:val="21"/>
        </w:rPr>
        <w:fldChar w:fldCharType="end"/>
      </w:r>
    </w:p>
    <w:p>
      <w:pPr>
        <w:autoSpaceDN w:val="0"/>
        <w:spacing w:line="270" w:lineRule="atLeast"/>
        <w:ind w:firstLine="560"/>
        <w:jc w:val="both"/>
        <w:rPr>
          <w:rFonts w:ascii="仿宋_GB2312" w:hAnsi="Times New Roman" w:eastAsia="仿宋_GB2312"/>
          <w:color w:val="000000"/>
          <w:szCs w:val="21"/>
        </w:rPr>
      </w:pPr>
      <w:r>
        <w:rPr>
          <w:rFonts w:hint="eastAsia" w:ascii="仿宋_GB2312" w:hAnsi="Times New Roman" w:eastAsia="仿宋_GB2312"/>
          <w:color w:val="000000"/>
          <w:szCs w:val="21"/>
        </w:rPr>
        <w:t>QQ：39867866@qq.com</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2</w:t>
    </w:r>
    <w:r>
      <w:rPr>
        <w:rFonts w:ascii="Times New Roman" w:hAnsi="Times New Roman"/>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3291B"/>
    <w:multiLevelType w:val="multilevel"/>
    <w:tmpl w:val="1953291B"/>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1">
    <w:nsid w:val="242E3663"/>
    <w:multiLevelType w:val="multilevel"/>
    <w:tmpl w:val="242E3663"/>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66632685"/>
    <w:multiLevelType w:val="multilevel"/>
    <w:tmpl w:val="66632685"/>
    <w:lvl w:ilvl="0" w:tentative="0">
      <w:start w:val="1"/>
      <w:numFmt w:val="decimal"/>
      <w:lvlText w:val="[%1]"/>
      <w:lvlJc w:val="left"/>
      <w:pPr>
        <w:ind w:left="980" w:hanging="420"/>
      </w:pPr>
      <w:rPr>
        <w:rFonts w:hint="eastAsia"/>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772F8"/>
    <w:rsid w:val="000034CE"/>
    <w:rsid w:val="00007C0E"/>
    <w:rsid w:val="000224AF"/>
    <w:rsid w:val="00052BAE"/>
    <w:rsid w:val="00052E17"/>
    <w:rsid w:val="00053929"/>
    <w:rsid w:val="0006567B"/>
    <w:rsid w:val="000674D1"/>
    <w:rsid w:val="000734D9"/>
    <w:rsid w:val="00075FE6"/>
    <w:rsid w:val="000761F9"/>
    <w:rsid w:val="000A5B7D"/>
    <w:rsid w:val="000B33A7"/>
    <w:rsid w:val="000B687A"/>
    <w:rsid w:val="000F73F0"/>
    <w:rsid w:val="001370FF"/>
    <w:rsid w:val="001545E6"/>
    <w:rsid w:val="00160A04"/>
    <w:rsid w:val="00162A16"/>
    <w:rsid w:val="00165E2B"/>
    <w:rsid w:val="0017108A"/>
    <w:rsid w:val="001717D8"/>
    <w:rsid w:val="001B0B56"/>
    <w:rsid w:val="001B37A4"/>
    <w:rsid w:val="001B6D1D"/>
    <w:rsid w:val="001C4DE0"/>
    <w:rsid w:val="001D03E0"/>
    <w:rsid w:val="001E409C"/>
    <w:rsid w:val="001E738E"/>
    <w:rsid w:val="00221730"/>
    <w:rsid w:val="00237EE4"/>
    <w:rsid w:val="0024426D"/>
    <w:rsid w:val="00262C6F"/>
    <w:rsid w:val="00266E31"/>
    <w:rsid w:val="00287450"/>
    <w:rsid w:val="00290A51"/>
    <w:rsid w:val="002914A1"/>
    <w:rsid w:val="002A12C2"/>
    <w:rsid w:val="002C4055"/>
    <w:rsid w:val="002C58A9"/>
    <w:rsid w:val="002C667A"/>
    <w:rsid w:val="002D25B7"/>
    <w:rsid w:val="002D6021"/>
    <w:rsid w:val="002E1802"/>
    <w:rsid w:val="002F5D73"/>
    <w:rsid w:val="002F7F26"/>
    <w:rsid w:val="003107A6"/>
    <w:rsid w:val="0032430F"/>
    <w:rsid w:val="00324CF3"/>
    <w:rsid w:val="00336EB1"/>
    <w:rsid w:val="0034001A"/>
    <w:rsid w:val="00345255"/>
    <w:rsid w:val="00353F0A"/>
    <w:rsid w:val="00355983"/>
    <w:rsid w:val="003616E3"/>
    <w:rsid w:val="00367E2B"/>
    <w:rsid w:val="0037245F"/>
    <w:rsid w:val="003737E4"/>
    <w:rsid w:val="00383A76"/>
    <w:rsid w:val="0039484C"/>
    <w:rsid w:val="00396046"/>
    <w:rsid w:val="003A5F0A"/>
    <w:rsid w:val="003C1D1F"/>
    <w:rsid w:val="003E5A44"/>
    <w:rsid w:val="003F2C12"/>
    <w:rsid w:val="003F60E2"/>
    <w:rsid w:val="003F73DC"/>
    <w:rsid w:val="004104B3"/>
    <w:rsid w:val="004167BD"/>
    <w:rsid w:val="00420044"/>
    <w:rsid w:val="004438F5"/>
    <w:rsid w:val="00447E76"/>
    <w:rsid w:val="00456A74"/>
    <w:rsid w:val="00471B0C"/>
    <w:rsid w:val="004B4458"/>
    <w:rsid w:val="004C759D"/>
    <w:rsid w:val="004D44D2"/>
    <w:rsid w:val="00503434"/>
    <w:rsid w:val="005041E1"/>
    <w:rsid w:val="00515BC8"/>
    <w:rsid w:val="00521734"/>
    <w:rsid w:val="00524949"/>
    <w:rsid w:val="0055543C"/>
    <w:rsid w:val="0055774C"/>
    <w:rsid w:val="00572068"/>
    <w:rsid w:val="005759C2"/>
    <w:rsid w:val="00580558"/>
    <w:rsid w:val="00584DE3"/>
    <w:rsid w:val="005971E9"/>
    <w:rsid w:val="005B55D1"/>
    <w:rsid w:val="005C5FC1"/>
    <w:rsid w:val="005D436C"/>
    <w:rsid w:val="005F156A"/>
    <w:rsid w:val="0062004D"/>
    <w:rsid w:val="00625389"/>
    <w:rsid w:val="00655B06"/>
    <w:rsid w:val="00673F44"/>
    <w:rsid w:val="00682914"/>
    <w:rsid w:val="00686BFB"/>
    <w:rsid w:val="00691591"/>
    <w:rsid w:val="006A1D2B"/>
    <w:rsid w:val="006A3AD4"/>
    <w:rsid w:val="006C0FF0"/>
    <w:rsid w:val="006C4B98"/>
    <w:rsid w:val="006D2EFF"/>
    <w:rsid w:val="006D75C2"/>
    <w:rsid w:val="006E4912"/>
    <w:rsid w:val="006F7C8C"/>
    <w:rsid w:val="007030D6"/>
    <w:rsid w:val="007210C4"/>
    <w:rsid w:val="00741BC6"/>
    <w:rsid w:val="0076642F"/>
    <w:rsid w:val="007734D2"/>
    <w:rsid w:val="00796F08"/>
    <w:rsid w:val="0079796D"/>
    <w:rsid w:val="007A73BF"/>
    <w:rsid w:val="007A7789"/>
    <w:rsid w:val="007A7F8C"/>
    <w:rsid w:val="007B2248"/>
    <w:rsid w:val="007C5107"/>
    <w:rsid w:val="007D02DE"/>
    <w:rsid w:val="007F11B3"/>
    <w:rsid w:val="00813844"/>
    <w:rsid w:val="0083274B"/>
    <w:rsid w:val="00841C56"/>
    <w:rsid w:val="008725C5"/>
    <w:rsid w:val="0088166F"/>
    <w:rsid w:val="00887651"/>
    <w:rsid w:val="008A0C13"/>
    <w:rsid w:val="008D2244"/>
    <w:rsid w:val="008D4E5E"/>
    <w:rsid w:val="0090131C"/>
    <w:rsid w:val="00906D6F"/>
    <w:rsid w:val="00915090"/>
    <w:rsid w:val="009223A6"/>
    <w:rsid w:val="00923BB6"/>
    <w:rsid w:val="00926296"/>
    <w:rsid w:val="00946FDE"/>
    <w:rsid w:val="009527C7"/>
    <w:rsid w:val="0096699A"/>
    <w:rsid w:val="009772F8"/>
    <w:rsid w:val="009B14C4"/>
    <w:rsid w:val="009B325C"/>
    <w:rsid w:val="009D3AD5"/>
    <w:rsid w:val="009E3F14"/>
    <w:rsid w:val="00A00F9F"/>
    <w:rsid w:val="00A10E31"/>
    <w:rsid w:val="00A400AC"/>
    <w:rsid w:val="00A43792"/>
    <w:rsid w:val="00A439CE"/>
    <w:rsid w:val="00A46225"/>
    <w:rsid w:val="00A57217"/>
    <w:rsid w:val="00A72260"/>
    <w:rsid w:val="00A81375"/>
    <w:rsid w:val="00A91042"/>
    <w:rsid w:val="00AA630D"/>
    <w:rsid w:val="00AC6423"/>
    <w:rsid w:val="00AD0151"/>
    <w:rsid w:val="00AD1C28"/>
    <w:rsid w:val="00AE0049"/>
    <w:rsid w:val="00B05485"/>
    <w:rsid w:val="00B15D4A"/>
    <w:rsid w:val="00B26479"/>
    <w:rsid w:val="00B27112"/>
    <w:rsid w:val="00B275FB"/>
    <w:rsid w:val="00B511C0"/>
    <w:rsid w:val="00B51DE4"/>
    <w:rsid w:val="00B51FFB"/>
    <w:rsid w:val="00B543F6"/>
    <w:rsid w:val="00B5546E"/>
    <w:rsid w:val="00B63C49"/>
    <w:rsid w:val="00B658BC"/>
    <w:rsid w:val="00B7226A"/>
    <w:rsid w:val="00BA65CE"/>
    <w:rsid w:val="00BB0168"/>
    <w:rsid w:val="00BB696D"/>
    <w:rsid w:val="00BC388C"/>
    <w:rsid w:val="00BC3CC1"/>
    <w:rsid w:val="00BC7E04"/>
    <w:rsid w:val="00BF5153"/>
    <w:rsid w:val="00BF5A69"/>
    <w:rsid w:val="00C02C3D"/>
    <w:rsid w:val="00C0499D"/>
    <w:rsid w:val="00C6683B"/>
    <w:rsid w:val="00C67515"/>
    <w:rsid w:val="00C73B0E"/>
    <w:rsid w:val="00CA7CBB"/>
    <w:rsid w:val="00CB5F81"/>
    <w:rsid w:val="00CC26F0"/>
    <w:rsid w:val="00CF0FA1"/>
    <w:rsid w:val="00D002ED"/>
    <w:rsid w:val="00D0658C"/>
    <w:rsid w:val="00D23495"/>
    <w:rsid w:val="00D56F51"/>
    <w:rsid w:val="00D73224"/>
    <w:rsid w:val="00D766AF"/>
    <w:rsid w:val="00DD16BB"/>
    <w:rsid w:val="00DE523F"/>
    <w:rsid w:val="00DF2ADD"/>
    <w:rsid w:val="00E07CBB"/>
    <w:rsid w:val="00E2355B"/>
    <w:rsid w:val="00E34601"/>
    <w:rsid w:val="00E3724A"/>
    <w:rsid w:val="00E41988"/>
    <w:rsid w:val="00E45899"/>
    <w:rsid w:val="00E73529"/>
    <w:rsid w:val="00E87FD3"/>
    <w:rsid w:val="00EC28FA"/>
    <w:rsid w:val="00EF1648"/>
    <w:rsid w:val="00F0192E"/>
    <w:rsid w:val="00F055B0"/>
    <w:rsid w:val="00F2308D"/>
    <w:rsid w:val="00F37492"/>
    <w:rsid w:val="00F37867"/>
    <w:rsid w:val="00F513A7"/>
    <w:rsid w:val="00F928F9"/>
    <w:rsid w:val="00F94ED7"/>
    <w:rsid w:val="00F95445"/>
    <w:rsid w:val="00FA2CAB"/>
    <w:rsid w:val="00FA4F4D"/>
    <w:rsid w:val="00FA6D8C"/>
    <w:rsid w:val="00FB329A"/>
    <w:rsid w:val="00FD3AA5"/>
    <w:rsid w:val="00FE79ED"/>
    <w:rsid w:val="00FF18C7"/>
    <w:rsid w:val="00FF3668"/>
    <w:rsid w:val="00FF654B"/>
    <w:rsid w:val="528D6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pPr>
    <w:rPr>
      <w:rFonts w:ascii="Calibri" w:hAnsi="Calibri" w:eastAsia="宋体" w:cs="Times New Roman"/>
      <w:kern w:val="2"/>
      <w:sz w:val="21"/>
      <w:szCs w:val="22"/>
      <w:lang w:val="en-US" w:eastAsia="zh-CN" w:bidi="ar-SA"/>
    </w:rPr>
  </w:style>
  <w:style w:type="paragraph" w:styleId="2">
    <w:name w:val="heading 3"/>
    <w:basedOn w:val="1"/>
    <w:next w:val="1"/>
    <w:link w:val="15"/>
    <w:qFormat/>
    <w:uiPriority w:val="9"/>
    <w:pPr>
      <w:widowControl/>
      <w:spacing w:before="100" w:beforeAutospacing="1" w:after="100" w:afterAutospacing="1" w:line="240" w:lineRule="auto"/>
      <w:outlineLvl w:val="2"/>
    </w:pPr>
    <w:rPr>
      <w:rFonts w:ascii="宋体" w:hAnsi="宋体" w:cs="宋体"/>
      <w:b/>
      <w:bCs/>
      <w:kern w:val="0"/>
      <w:sz w:val="27"/>
      <w:szCs w:val="27"/>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semiHidden/>
    <w:unhideWhenUsed/>
    <w:uiPriority w:val="99"/>
    <w:pPr>
      <w:spacing w:line="240" w:lineRule="auto"/>
    </w:pPr>
    <w:rPr>
      <w:sz w:val="18"/>
      <w:szCs w:val="18"/>
    </w:rPr>
  </w:style>
  <w:style w:type="paragraph" w:styleId="4">
    <w:name w:val="footer"/>
    <w:basedOn w:val="1"/>
    <w:link w:val="12"/>
    <w:unhideWhenUsed/>
    <w:qFormat/>
    <w:uiPriority w:val="99"/>
    <w:pPr>
      <w:tabs>
        <w:tab w:val="center" w:pos="4153"/>
        <w:tab w:val="right" w:pos="8306"/>
      </w:tabs>
      <w:snapToGrid w:val="0"/>
      <w:spacing w:line="240" w:lineRule="auto"/>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6">
    <w:name w:val="Normal (Web)"/>
    <w:basedOn w:val="1"/>
    <w:semiHidden/>
    <w:unhideWhenUsed/>
    <w:qFormat/>
    <w:uiPriority w:val="99"/>
    <w:pPr>
      <w:widowControl/>
      <w:spacing w:before="100" w:beforeAutospacing="1" w:after="100" w:afterAutospacing="1" w:line="240" w:lineRule="auto"/>
    </w:pPr>
    <w:rPr>
      <w:rFonts w:ascii="宋体" w:hAnsi="宋体" w:cs="宋体"/>
      <w:kern w:val="0"/>
      <w:sz w:val="24"/>
      <w:szCs w:val="24"/>
    </w:rPr>
  </w:style>
  <w:style w:type="character" w:styleId="9">
    <w:name w:val="Emphasis"/>
    <w:basedOn w:val="8"/>
    <w:qFormat/>
    <w:uiPriority w:val="20"/>
    <w:rPr>
      <w:i/>
      <w:iCs/>
    </w:rPr>
  </w:style>
  <w:style w:type="character" w:styleId="10">
    <w:name w:val="Hyperlink"/>
    <w:basedOn w:val="8"/>
    <w:unhideWhenUsed/>
    <w:uiPriority w:val="99"/>
    <w:rPr>
      <w:color w:val="0000FF"/>
      <w:u w:val="none"/>
    </w:rPr>
  </w:style>
  <w:style w:type="character" w:customStyle="1" w:styleId="11">
    <w:name w:val="页眉 Char"/>
    <w:basedOn w:val="8"/>
    <w:link w:val="5"/>
    <w:uiPriority w:val="99"/>
    <w:rPr>
      <w:sz w:val="18"/>
      <w:szCs w:val="18"/>
    </w:rPr>
  </w:style>
  <w:style w:type="character" w:customStyle="1" w:styleId="12">
    <w:name w:val="页脚 Char"/>
    <w:basedOn w:val="8"/>
    <w:link w:val="4"/>
    <w:uiPriority w:val="99"/>
    <w:rPr>
      <w:sz w:val="18"/>
      <w:szCs w:val="18"/>
    </w:rPr>
  </w:style>
  <w:style w:type="character" w:customStyle="1" w:styleId="13">
    <w:name w:val="datatitle1"/>
    <w:basedOn w:val="8"/>
    <w:uiPriority w:val="0"/>
    <w:rPr>
      <w:b/>
      <w:bCs/>
      <w:color w:val="10619F"/>
      <w:sz w:val="21"/>
      <w:szCs w:val="21"/>
    </w:rPr>
  </w:style>
  <w:style w:type="paragraph" w:styleId="14">
    <w:name w:val="List Paragraph"/>
    <w:basedOn w:val="1"/>
    <w:qFormat/>
    <w:uiPriority w:val="34"/>
    <w:pPr>
      <w:ind w:firstLine="420" w:firstLineChars="200"/>
    </w:pPr>
  </w:style>
  <w:style w:type="character" w:customStyle="1" w:styleId="15">
    <w:name w:val="标题 3 Char"/>
    <w:basedOn w:val="8"/>
    <w:link w:val="2"/>
    <w:qFormat/>
    <w:uiPriority w:val="9"/>
    <w:rPr>
      <w:rFonts w:ascii="宋体" w:hAnsi="宋体" w:cs="宋体"/>
      <w:b/>
      <w:bCs/>
      <w:sz w:val="27"/>
      <w:szCs w:val="27"/>
    </w:rPr>
  </w:style>
  <w:style w:type="character" w:customStyle="1" w:styleId="16">
    <w:name w:val="apple-converted-space"/>
    <w:basedOn w:val="8"/>
    <w:qFormat/>
    <w:uiPriority w:val="0"/>
  </w:style>
  <w:style w:type="character" w:customStyle="1" w:styleId="17">
    <w:name w:val="批注框文本 Char"/>
    <w:basedOn w:val="8"/>
    <w:link w:val="3"/>
    <w:semiHidden/>
    <w:qFormat/>
    <w:uiPriority w:val="99"/>
    <w:rPr>
      <w:kern w:val="2"/>
      <w:sz w:val="18"/>
      <w:szCs w:val="18"/>
    </w:rPr>
  </w:style>
  <w:style w:type="paragraph" w:customStyle="1" w:styleId="18">
    <w:name w:val="_Style 5"/>
    <w:basedOn w:val="1"/>
    <w:uiPriority w:val="0"/>
    <w:pPr>
      <w:spacing w:line="240" w:lineRule="auto"/>
      <w:jc w:val="both"/>
    </w:pPr>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2</Pages>
  <Words>288</Words>
  <Characters>1646</Characters>
  <Lines>13</Lines>
  <Paragraphs>3</Paragraphs>
  <TotalTime>122</TotalTime>
  <ScaleCrop>false</ScaleCrop>
  <LinksUpToDate>false</LinksUpToDate>
  <CharactersWithSpaces>1931</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2014-10-13T12:51:00Z</dcterms:created>
  <dc:creator>雨林木风</dc:creator>
  <cp:lastModifiedBy>qch01</cp:lastModifiedBy>
  <dcterms:modified xsi:type="dcterms:W3CDTF">2019-09-25T02:25:54Z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