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240" w:lineRule="auto"/>
        <w:jc w:val="center"/>
        <w:rPr>
          <w:rFonts w:ascii="仿宋_GB2312" w:hAnsi="Times New Roman" w:eastAsia="仿宋_GB2312"/>
          <w:color w:val="000000" w:themeColor="text1"/>
          <w:kern w:val="0"/>
          <w:szCs w:val="21"/>
        </w:rPr>
      </w:pPr>
      <w:bookmarkStart w:id="0" w:name="_GoBack"/>
      <w:r>
        <w:rPr>
          <w:rFonts w:hint="eastAsia" w:ascii="仿宋_GB2312" w:hAnsi="仿宋_GB2312" w:eastAsia="仿宋_GB2312"/>
          <w:b/>
          <w:color w:val="000000"/>
          <w:sz w:val="36"/>
          <w:szCs w:val="36"/>
          <w:lang w:eastAsia="zh-CN"/>
        </w:rPr>
        <w:t>郑州西亚斯学院</w:t>
      </w:r>
      <w:r>
        <w:rPr>
          <w:rFonts w:hint="eastAsia" w:ascii="仿宋_GB2312" w:hAnsi="仿宋_GB2312" w:eastAsia="仿宋_GB2312"/>
          <w:b/>
          <w:color w:val="000000"/>
          <w:sz w:val="36"/>
          <w:szCs w:val="36"/>
        </w:rPr>
        <w:t>研究生导师简介</w:t>
      </w:r>
      <w:bookmarkEnd w:id="0"/>
    </w:p>
    <w:p>
      <w:pPr>
        <w:widowControl/>
        <w:spacing w:line="240" w:lineRule="auto"/>
        <w:rPr>
          <w:rFonts w:ascii="仿宋_GB2312" w:hAnsi="Times New Roman" w:eastAsia="仿宋_GB2312"/>
          <w:b/>
          <w:color w:val="000000" w:themeColor="text1"/>
          <w:kern w:val="0"/>
          <w:szCs w:val="21"/>
        </w:rPr>
      </w:pPr>
      <w:r>
        <w:rPr>
          <w:rFonts w:ascii="仿宋_GB2312" w:hAnsi="Times New Roman" w:eastAsia="仿宋_GB2312"/>
          <w:b/>
          <w:color w:val="000000" w:themeColor="text1"/>
          <w:kern w:val="0"/>
          <w:szCs w:val="21"/>
        </w:rPr>
        <w:drawing>
          <wp:anchor distT="0" distB="0" distL="114300" distR="114300" simplePos="0" relativeHeight="251658240" behindDoc="0" locked="0" layoutInCell="1" allowOverlap="1">
            <wp:simplePos x="0" y="0"/>
            <wp:positionH relativeFrom="margin">
              <wp:posOffset>3221990</wp:posOffset>
            </wp:positionH>
            <wp:positionV relativeFrom="margin">
              <wp:posOffset>994410</wp:posOffset>
            </wp:positionV>
            <wp:extent cx="2563495" cy="1798955"/>
            <wp:effectExtent l="0" t="381000" r="0" b="372745"/>
            <wp:wrapSquare wrapText="bothSides"/>
            <wp:docPr id="3" name="图片 3" descr="E:\王彦彭\王彦彭工作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王彦彭\王彦彭工作照.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rot="16200000">
                      <a:off x="0" y="0"/>
                      <a:ext cx="2563495" cy="1798955"/>
                    </a:xfrm>
                    <a:prstGeom prst="rect">
                      <a:avLst/>
                    </a:prstGeom>
                    <a:noFill/>
                    <a:ln>
                      <a:noFill/>
                    </a:ln>
                  </pic:spPr>
                </pic:pic>
              </a:graphicData>
            </a:graphic>
          </wp:anchor>
        </w:drawing>
      </w:r>
    </w:p>
    <w:p>
      <w:pPr>
        <w:autoSpaceDN w:val="0"/>
        <w:spacing w:line="270" w:lineRule="atLeast"/>
        <w:ind w:firstLine="560"/>
        <w:jc w:val="both"/>
        <w:rPr>
          <w:rFonts w:ascii="仿宋_GB2312" w:hAnsi="Times New Roman" w:eastAsia="仿宋_GB2312"/>
          <w:color w:val="000000"/>
          <w:szCs w:val="21"/>
        </w:rPr>
      </w:pPr>
      <w:r>
        <w:rPr>
          <w:rFonts w:hint="eastAsia" w:ascii="仿宋_GB2312" w:hAnsi="Times New Roman" w:eastAsia="仿宋_GB2312"/>
          <w:color w:val="000000"/>
          <w:szCs w:val="21"/>
        </w:rPr>
        <w:t>王彦彭，男，汉族，1981年12月生，副教授，统计学博士，郑州大学西亚斯国际学院商学院副院长，河南省教育厅学术技术带头人、河南省应用统计学会理事，郑州大学西亚斯国际学院中青年骨干教师、学术委员会委员，2012－2013学年优秀教师、科研工作先进个人、优秀论文指导教师，2014－2015年先进个人、2014－2015学年优秀教师，指导学生参加第七届、第八届大学生市场调查与分析大赛河南省分赛荣获二等奖并荣获最佳辅导教师荣誉称号，2015－2016学年、2016－2017学年、2017－2018学年连续三个学年的第二学期教师课堂教学质量综合评价中综合成绩排名前25%。</w:t>
      </w:r>
    </w:p>
    <w:p>
      <w:pPr>
        <w:autoSpaceDN w:val="0"/>
        <w:spacing w:line="270" w:lineRule="atLeast"/>
        <w:ind w:firstLine="560"/>
        <w:jc w:val="both"/>
        <w:rPr>
          <w:rFonts w:ascii="仿宋_GB2312" w:hAnsi="Times New Roman" w:eastAsia="仿宋_GB2312"/>
          <w:color w:val="000000"/>
          <w:szCs w:val="21"/>
        </w:rPr>
      </w:pPr>
      <w:r>
        <w:rPr>
          <w:rFonts w:hint="eastAsia" w:ascii="仿宋_GB2312" w:hAnsi="Times New Roman" w:eastAsia="仿宋_GB2312"/>
          <w:b/>
          <w:color w:val="000000"/>
          <w:szCs w:val="21"/>
        </w:rPr>
        <w:t>主要研究方向：</w:t>
      </w:r>
      <w:r>
        <w:rPr>
          <w:rFonts w:hint="eastAsia" w:ascii="仿宋_GB2312" w:hAnsi="Times New Roman" w:eastAsia="仿宋_GB2312"/>
          <w:color w:val="000000"/>
          <w:szCs w:val="21"/>
        </w:rPr>
        <w:t>资源环境经济学；生态文明建设；新型城镇化建设。</w:t>
      </w:r>
    </w:p>
    <w:p>
      <w:pPr>
        <w:autoSpaceDN w:val="0"/>
        <w:spacing w:line="270" w:lineRule="atLeast"/>
        <w:ind w:firstLine="560"/>
        <w:jc w:val="both"/>
        <w:rPr>
          <w:rFonts w:ascii="仿宋_GB2312" w:hAnsi="Times New Roman" w:eastAsia="仿宋_GB2312"/>
          <w:b/>
          <w:color w:val="000000"/>
          <w:szCs w:val="21"/>
        </w:rPr>
      </w:pPr>
      <w:r>
        <w:rPr>
          <w:rFonts w:hint="eastAsia" w:ascii="仿宋_GB2312" w:hAnsi="Times New Roman" w:eastAsia="仿宋_GB2312"/>
          <w:b/>
          <w:color w:val="000000"/>
          <w:szCs w:val="21"/>
        </w:rPr>
        <w:t>主要代表性研究成果:</w:t>
      </w:r>
    </w:p>
    <w:p>
      <w:pPr>
        <w:autoSpaceDN w:val="0"/>
        <w:spacing w:line="270" w:lineRule="atLeast"/>
        <w:ind w:firstLine="560"/>
        <w:jc w:val="both"/>
        <w:rPr>
          <w:rFonts w:ascii="仿宋_GB2312" w:hAnsi="Times New Roman" w:eastAsia="仿宋_GB2312"/>
          <w:b/>
          <w:color w:val="000000"/>
          <w:szCs w:val="21"/>
        </w:rPr>
      </w:pPr>
      <w:r>
        <w:rPr>
          <w:rFonts w:hint="eastAsia" w:ascii="仿宋_GB2312" w:hAnsi="Times New Roman" w:eastAsia="仿宋_GB2312"/>
          <w:b/>
          <w:color w:val="000000"/>
          <w:szCs w:val="21"/>
        </w:rPr>
        <w:t>1．获得省部级及以上奖励1项</w:t>
      </w:r>
    </w:p>
    <w:p>
      <w:pPr>
        <w:autoSpaceDN w:val="0"/>
        <w:spacing w:line="270" w:lineRule="atLeast"/>
        <w:ind w:firstLine="560"/>
        <w:jc w:val="both"/>
        <w:rPr>
          <w:rFonts w:ascii="仿宋_GB2312" w:hAnsi="Times New Roman" w:eastAsia="仿宋_GB2312"/>
          <w:color w:val="000000"/>
          <w:szCs w:val="21"/>
        </w:rPr>
      </w:pPr>
      <w:r>
        <w:rPr>
          <w:rFonts w:hint="eastAsia" w:ascii="仿宋_GB2312" w:hAnsi="Times New Roman" w:eastAsia="仿宋_GB2312"/>
          <w:color w:val="000000"/>
          <w:szCs w:val="21"/>
        </w:rPr>
        <w:t>2013年度河南省社会科学优秀成果奖贰等奖:《“十二五”时期工业节能潜力与目标分析》 (排名第二)</w:t>
      </w:r>
    </w:p>
    <w:p>
      <w:pPr>
        <w:autoSpaceDN w:val="0"/>
        <w:spacing w:line="270" w:lineRule="atLeast"/>
        <w:ind w:firstLine="560"/>
        <w:jc w:val="both"/>
        <w:rPr>
          <w:rFonts w:ascii="仿宋_GB2312" w:hAnsi="Times New Roman" w:eastAsia="仿宋_GB2312"/>
          <w:b/>
          <w:color w:val="000000"/>
          <w:szCs w:val="21"/>
        </w:rPr>
      </w:pPr>
      <w:r>
        <w:rPr>
          <w:rFonts w:hint="eastAsia" w:ascii="仿宋_GB2312" w:hAnsi="Times New Roman" w:eastAsia="仿宋_GB2312"/>
          <w:b/>
          <w:color w:val="000000"/>
          <w:szCs w:val="21"/>
        </w:rPr>
        <w:t>2．主持省部级以上科研项目5项</w:t>
      </w:r>
    </w:p>
    <w:p>
      <w:pPr>
        <w:pStyle w:val="14"/>
        <w:numPr>
          <w:ilvl w:val="0"/>
          <w:numId w:val="1"/>
        </w:numPr>
        <w:autoSpaceDN w:val="0"/>
        <w:spacing w:line="270" w:lineRule="atLeast"/>
        <w:ind w:firstLineChars="0"/>
        <w:jc w:val="both"/>
        <w:rPr>
          <w:rFonts w:ascii="仿宋_GB2312" w:hAnsi="Times New Roman" w:eastAsia="仿宋_GB2312"/>
          <w:color w:val="000000"/>
          <w:szCs w:val="21"/>
        </w:rPr>
      </w:pPr>
      <w:r>
        <w:rPr>
          <w:rFonts w:hint="eastAsia" w:ascii="仿宋_GB2312" w:hAnsi="Times New Roman" w:eastAsia="仿宋_GB2312"/>
          <w:color w:val="000000"/>
          <w:szCs w:val="21"/>
        </w:rPr>
        <w:t>2017年度河南省政府决策招标项目：《中原城市群竞争力测度与评价》（2017B188）2017.10-2018.10,结项.</w:t>
      </w:r>
    </w:p>
    <w:p>
      <w:pPr>
        <w:pStyle w:val="14"/>
        <w:numPr>
          <w:ilvl w:val="0"/>
          <w:numId w:val="1"/>
        </w:numPr>
        <w:autoSpaceDN w:val="0"/>
        <w:spacing w:line="270" w:lineRule="atLeast"/>
        <w:ind w:firstLineChars="0"/>
        <w:jc w:val="both"/>
        <w:rPr>
          <w:rFonts w:ascii="仿宋_GB2312" w:hAnsi="Times New Roman" w:eastAsia="仿宋_GB2312"/>
          <w:color w:val="000000"/>
          <w:szCs w:val="21"/>
        </w:rPr>
      </w:pPr>
      <w:r>
        <w:rPr>
          <w:rFonts w:hint="eastAsia" w:ascii="仿宋_GB2312" w:hAnsi="Times New Roman" w:eastAsia="仿宋_GB2312"/>
          <w:color w:val="000000"/>
          <w:szCs w:val="21"/>
        </w:rPr>
        <w:t>2014年度河南省政府决策招标一般项目:《提升河南省城市综合承载能力研究》,(2014224)2014.6-2015.6,结项.</w:t>
      </w:r>
    </w:p>
    <w:p>
      <w:pPr>
        <w:pStyle w:val="14"/>
        <w:numPr>
          <w:ilvl w:val="0"/>
          <w:numId w:val="1"/>
        </w:numPr>
        <w:autoSpaceDN w:val="0"/>
        <w:spacing w:line="270" w:lineRule="atLeast"/>
        <w:ind w:firstLineChars="0"/>
        <w:jc w:val="both"/>
        <w:rPr>
          <w:rFonts w:ascii="仿宋_GB2312" w:hAnsi="Times New Roman" w:eastAsia="仿宋_GB2312"/>
          <w:color w:val="000000"/>
          <w:szCs w:val="21"/>
        </w:rPr>
      </w:pPr>
      <w:r>
        <w:rPr>
          <w:rFonts w:hint="eastAsia" w:ascii="仿宋_GB2312" w:hAnsi="Times New Roman" w:eastAsia="仿宋_GB2312"/>
          <w:color w:val="000000"/>
          <w:szCs w:val="21"/>
        </w:rPr>
        <w:t>2014年度河南省软科学研究计划项目:《中部六省生态文明建设目标体系与测度研究》(142400410157),2014.4-2016.4,结项.</w:t>
      </w:r>
    </w:p>
    <w:p>
      <w:pPr>
        <w:pStyle w:val="14"/>
        <w:numPr>
          <w:ilvl w:val="0"/>
          <w:numId w:val="1"/>
        </w:numPr>
        <w:autoSpaceDN w:val="0"/>
        <w:spacing w:line="270" w:lineRule="atLeast"/>
        <w:ind w:firstLineChars="0"/>
        <w:jc w:val="both"/>
        <w:rPr>
          <w:rFonts w:ascii="仿宋_GB2312" w:hAnsi="Times New Roman" w:eastAsia="仿宋_GB2312"/>
          <w:color w:val="000000"/>
          <w:szCs w:val="21"/>
        </w:rPr>
      </w:pPr>
      <w:r>
        <w:rPr>
          <w:rFonts w:hint="eastAsia" w:ascii="仿宋_GB2312" w:hAnsi="Times New Roman" w:eastAsia="仿宋_GB2312"/>
          <w:color w:val="000000"/>
          <w:szCs w:val="21"/>
        </w:rPr>
        <w:t>2012年度河南省政府决策研究招标课题:《河南省能源问题研究》(2012B674),已结项(优秀).</w:t>
      </w:r>
    </w:p>
    <w:p>
      <w:pPr>
        <w:pStyle w:val="14"/>
        <w:numPr>
          <w:ilvl w:val="0"/>
          <w:numId w:val="1"/>
        </w:numPr>
        <w:autoSpaceDN w:val="0"/>
        <w:spacing w:line="270" w:lineRule="atLeast"/>
        <w:ind w:firstLineChars="0"/>
        <w:jc w:val="both"/>
        <w:rPr>
          <w:rFonts w:ascii="仿宋_GB2312" w:hAnsi="Times New Roman" w:eastAsia="仿宋_GB2312"/>
          <w:color w:val="000000"/>
          <w:szCs w:val="21"/>
        </w:rPr>
      </w:pPr>
      <w:r>
        <w:rPr>
          <w:rFonts w:hint="eastAsia" w:ascii="仿宋_GB2312" w:hAnsi="Times New Roman" w:eastAsia="仿宋_GB2312"/>
          <w:color w:val="000000"/>
          <w:szCs w:val="21"/>
        </w:rPr>
        <w:t>2011年度河南省软科学研究计划项目:《“十二五”时期河南省节能减排潜力与实现路径分析》,已结项.</w:t>
      </w:r>
    </w:p>
    <w:p>
      <w:pPr>
        <w:autoSpaceDN w:val="0"/>
        <w:spacing w:line="270" w:lineRule="atLeast"/>
        <w:ind w:firstLine="560"/>
        <w:jc w:val="both"/>
        <w:rPr>
          <w:rFonts w:ascii="仿宋_GB2312" w:hAnsi="Times New Roman" w:eastAsia="仿宋_GB2312"/>
          <w:b/>
          <w:color w:val="000000"/>
          <w:szCs w:val="21"/>
        </w:rPr>
      </w:pPr>
      <w:r>
        <w:rPr>
          <w:rFonts w:hint="eastAsia" w:ascii="仿宋_GB2312" w:hAnsi="Times New Roman" w:eastAsia="仿宋_GB2312"/>
          <w:b/>
          <w:color w:val="000000"/>
          <w:szCs w:val="21"/>
        </w:rPr>
        <w:t>3．发表核心期刊以上论文15篇</w:t>
      </w:r>
    </w:p>
    <w:p>
      <w:pPr>
        <w:pStyle w:val="14"/>
        <w:numPr>
          <w:ilvl w:val="0"/>
          <w:numId w:val="2"/>
        </w:numPr>
        <w:autoSpaceDN w:val="0"/>
        <w:spacing w:line="270" w:lineRule="atLeast"/>
        <w:ind w:firstLineChars="0"/>
        <w:jc w:val="both"/>
        <w:rPr>
          <w:rFonts w:ascii="仿宋_GB2312" w:hAnsi="Times New Roman" w:eastAsia="仿宋_GB2312"/>
          <w:color w:val="000000"/>
          <w:szCs w:val="21"/>
        </w:rPr>
      </w:pPr>
      <w:r>
        <w:rPr>
          <w:rFonts w:hint="eastAsia" w:ascii="仿宋_GB2312" w:hAnsi="Times New Roman" w:eastAsia="仿宋_GB2312"/>
          <w:color w:val="000000"/>
          <w:szCs w:val="21"/>
        </w:rPr>
        <w:t>新经济地理学视角下商业集聚与城镇化耦合关系分析——来自中原城市群17城市的经验证据，《商业经济研究》(经济类核心期刊),2018(14): 146-149.(第一作者)</w:t>
      </w:r>
    </w:p>
    <w:p>
      <w:pPr>
        <w:pStyle w:val="14"/>
        <w:numPr>
          <w:ilvl w:val="0"/>
          <w:numId w:val="2"/>
        </w:numPr>
        <w:autoSpaceDN w:val="0"/>
        <w:spacing w:line="270" w:lineRule="atLeast"/>
        <w:ind w:firstLineChars="0"/>
        <w:jc w:val="both"/>
        <w:rPr>
          <w:rFonts w:ascii="仿宋_GB2312" w:hAnsi="Times New Roman" w:eastAsia="仿宋_GB2312"/>
          <w:color w:val="000000"/>
          <w:szCs w:val="21"/>
        </w:rPr>
      </w:pPr>
      <w:r>
        <w:rPr>
          <w:rFonts w:hint="eastAsia" w:ascii="仿宋_GB2312" w:hAnsi="Times New Roman" w:eastAsia="仿宋_GB2312"/>
          <w:color w:val="000000"/>
          <w:szCs w:val="21"/>
        </w:rPr>
        <w:t>近年来新型城镇化建设资金保障创新的实践与思考，《现代城市研究》(经济类核心期刊),2018(3): 88-95. (独著)</w:t>
      </w:r>
    </w:p>
    <w:p>
      <w:pPr>
        <w:pStyle w:val="14"/>
        <w:numPr>
          <w:ilvl w:val="0"/>
          <w:numId w:val="2"/>
        </w:numPr>
        <w:autoSpaceDN w:val="0"/>
        <w:spacing w:line="270" w:lineRule="atLeast"/>
        <w:ind w:firstLineChars="0"/>
        <w:jc w:val="both"/>
        <w:rPr>
          <w:rFonts w:ascii="仿宋_GB2312" w:hAnsi="Times New Roman" w:eastAsia="仿宋_GB2312"/>
          <w:color w:val="000000"/>
          <w:szCs w:val="21"/>
        </w:rPr>
      </w:pPr>
      <w:r>
        <w:rPr>
          <w:rFonts w:hint="eastAsia" w:ascii="仿宋_GB2312" w:hAnsi="Times New Roman" w:eastAsia="仿宋_GB2312"/>
          <w:color w:val="000000"/>
          <w:szCs w:val="21"/>
        </w:rPr>
        <w:t>我国生态文明建设的测度与比较,《统计与决策》(中文核心期刊),2017(3):70-73. (独著)</w:t>
      </w:r>
    </w:p>
    <w:p>
      <w:pPr>
        <w:pStyle w:val="14"/>
        <w:numPr>
          <w:ilvl w:val="0"/>
          <w:numId w:val="2"/>
        </w:numPr>
        <w:autoSpaceDN w:val="0"/>
        <w:spacing w:line="270" w:lineRule="atLeast"/>
        <w:ind w:firstLineChars="0"/>
        <w:jc w:val="both"/>
        <w:rPr>
          <w:rFonts w:ascii="仿宋_GB2312" w:hAnsi="Times New Roman" w:eastAsia="仿宋_GB2312"/>
          <w:color w:val="000000"/>
          <w:szCs w:val="21"/>
        </w:rPr>
      </w:pPr>
      <w:r>
        <w:rPr>
          <w:rFonts w:hint="eastAsia" w:ascii="仿宋_GB2312" w:hAnsi="Times New Roman" w:eastAsia="仿宋_GB2312"/>
          <w:color w:val="000000"/>
          <w:szCs w:val="21"/>
        </w:rPr>
        <w:t>中部六省生态文明建设的测度与比较,《企业经济》(中文核心期刊),2015(9): 92-101. (独著)</w:t>
      </w:r>
    </w:p>
    <w:p>
      <w:pPr>
        <w:pStyle w:val="14"/>
        <w:numPr>
          <w:ilvl w:val="0"/>
          <w:numId w:val="2"/>
        </w:numPr>
        <w:autoSpaceDN w:val="0"/>
        <w:spacing w:line="270" w:lineRule="atLeast"/>
        <w:ind w:firstLineChars="0"/>
        <w:jc w:val="both"/>
        <w:rPr>
          <w:rFonts w:ascii="仿宋_GB2312" w:hAnsi="Times New Roman" w:eastAsia="仿宋_GB2312"/>
          <w:color w:val="000000"/>
          <w:szCs w:val="21"/>
        </w:rPr>
      </w:pPr>
      <w:r>
        <w:rPr>
          <w:rFonts w:hint="eastAsia" w:ascii="仿宋_GB2312" w:hAnsi="Times New Roman" w:eastAsia="仿宋_GB2312"/>
          <w:color w:val="000000"/>
          <w:szCs w:val="21"/>
        </w:rPr>
        <w:t>河南省能源消费碳排放的演变与预测,《企业经济》(中文核心期刊),2013(6): 26-32.(独著)</w:t>
      </w:r>
    </w:p>
    <w:p>
      <w:pPr>
        <w:pStyle w:val="14"/>
        <w:numPr>
          <w:ilvl w:val="0"/>
          <w:numId w:val="2"/>
        </w:numPr>
        <w:autoSpaceDN w:val="0"/>
        <w:spacing w:line="270" w:lineRule="atLeast"/>
        <w:ind w:firstLineChars="0"/>
        <w:jc w:val="both"/>
        <w:rPr>
          <w:rFonts w:ascii="仿宋_GB2312" w:hAnsi="Times New Roman" w:eastAsia="仿宋_GB2312"/>
          <w:color w:val="000000"/>
          <w:szCs w:val="21"/>
        </w:rPr>
      </w:pPr>
      <w:r>
        <w:rPr>
          <w:rFonts w:hint="eastAsia" w:ascii="仿宋_GB2312" w:hAnsi="Times New Roman" w:eastAsia="仿宋_GB2312"/>
          <w:color w:val="000000"/>
          <w:szCs w:val="21"/>
        </w:rPr>
        <w:t>“十二五”时期工业节能潜力与目标分析,《中国工业经济》(CCSCI来源期刊,中文核心期刊工业经济类第1名),2013(3): 46-58.(合著,第二，获省部级二等奖)</w:t>
      </w:r>
    </w:p>
    <w:p>
      <w:pPr>
        <w:pStyle w:val="14"/>
        <w:numPr>
          <w:ilvl w:val="0"/>
          <w:numId w:val="2"/>
        </w:numPr>
        <w:autoSpaceDN w:val="0"/>
        <w:spacing w:line="270" w:lineRule="atLeast"/>
        <w:ind w:firstLineChars="0"/>
        <w:jc w:val="both"/>
        <w:rPr>
          <w:rFonts w:ascii="仿宋_GB2312" w:hAnsi="Times New Roman" w:eastAsia="仿宋_GB2312"/>
          <w:color w:val="000000"/>
          <w:szCs w:val="21"/>
        </w:rPr>
      </w:pPr>
      <w:r>
        <w:rPr>
          <w:rFonts w:hint="eastAsia" w:ascii="仿宋_GB2312" w:hAnsi="Times New Roman" w:eastAsia="仿宋_GB2312"/>
          <w:color w:val="000000"/>
          <w:szCs w:val="21"/>
        </w:rPr>
        <w:t>“十二五”时期我国节能潜力与节能降耗目标分析,《企业经济》(中文核心期刊), 2012(10): 139-146.(独著)</w:t>
      </w:r>
    </w:p>
    <w:p>
      <w:pPr>
        <w:pStyle w:val="14"/>
        <w:numPr>
          <w:ilvl w:val="0"/>
          <w:numId w:val="2"/>
        </w:numPr>
        <w:autoSpaceDN w:val="0"/>
        <w:spacing w:line="270" w:lineRule="atLeast"/>
        <w:ind w:firstLineChars="0"/>
        <w:jc w:val="both"/>
        <w:rPr>
          <w:rFonts w:ascii="仿宋_GB2312" w:hAnsi="Times New Roman" w:eastAsia="仿宋_GB2312"/>
          <w:color w:val="000000"/>
          <w:szCs w:val="21"/>
        </w:rPr>
      </w:pPr>
      <w:r>
        <w:rPr>
          <w:rFonts w:hint="eastAsia" w:ascii="仿宋_GB2312" w:hAnsi="Times New Roman" w:eastAsia="仿宋_GB2312"/>
          <w:color w:val="000000"/>
          <w:szCs w:val="21"/>
        </w:rPr>
        <w:t>关于我国国家战略经济区过度供给的思考,《商业时代》(中文核心期刊), 2012(18):131-134.(独著)</w:t>
      </w:r>
    </w:p>
    <w:p>
      <w:pPr>
        <w:pStyle w:val="14"/>
        <w:numPr>
          <w:ilvl w:val="0"/>
          <w:numId w:val="2"/>
        </w:numPr>
        <w:autoSpaceDN w:val="0"/>
        <w:spacing w:line="270" w:lineRule="atLeast"/>
        <w:ind w:firstLineChars="0"/>
        <w:jc w:val="both"/>
        <w:rPr>
          <w:rFonts w:ascii="仿宋_GB2312" w:hAnsi="Times New Roman" w:eastAsia="仿宋_GB2312"/>
          <w:color w:val="000000"/>
          <w:szCs w:val="21"/>
        </w:rPr>
      </w:pPr>
      <w:r>
        <w:rPr>
          <w:rFonts w:hint="eastAsia" w:ascii="仿宋_GB2312" w:hAnsi="Times New Roman" w:eastAsia="仿宋_GB2312"/>
          <w:color w:val="000000"/>
          <w:szCs w:val="21"/>
        </w:rPr>
        <w:t>我国生态承载力的综合评价与比较,《统计与决策》(CSSCI来源期刊,中文核心期刊),2012(7).(独著)</w:t>
      </w:r>
    </w:p>
    <w:p>
      <w:pPr>
        <w:pStyle w:val="14"/>
        <w:numPr>
          <w:ilvl w:val="0"/>
          <w:numId w:val="2"/>
        </w:numPr>
        <w:autoSpaceDN w:val="0"/>
        <w:spacing w:line="270" w:lineRule="atLeast"/>
        <w:ind w:firstLineChars="0"/>
        <w:jc w:val="both"/>
        <w:rPr>
          <w:rFonts w:ascii="仿宋_GB2312" w:hAnsi="Times New Roman" w:eastAsia="仿宋_GB2312"/>
          <w:color w:val="000000"/>
          <w:szCs w:val="21"/>
        </w:rPr>
      </w:pPr>
      <w:r>
        <w:rPr>
          <w:rFonts w:hint="eastAsia" w:ascii="仿宋_GB2312" w:hAnsi="Times New Roman" w:eastAsia="仿宋_GB2312"/>
          <w:color w:val="000000"/>
          <w:szCs w:val="21"/>
        </w:rPr>
        <w:t>我国节能减排进程的评价与比较，《技术经济与管理研究》（经济类核心期刊），2010(6).(独著)</w:t>
      </w:r>
    </w:p>
    <w:p>
      <w:pPr>
        <w:pStyle w:val="14"/>
        <w:numPr>
          <w:ilvl w:val="0"/>
          <w:numId w:val="2"/>
        </w:numPr>
        <w:autoSpaceDN w:val="0"/>
        <w:spacing w:line="270" w:lineRule="atLeast"/>
        <w:ind w:firstLineChars="0"/>
        <w:jc w:val="both"/>
        <w:rPr>
          <w:rFonts w:ascii="仿宋_GB2312" w:hAnsi="Times New Roman" w:eastAsia="仿宋_GB2312"/>
          <w:color w:val="000000"/>
          <w:szCs w:val="21"/>
        </w:rPr>
      </w:pPr>
      <w:r>
        <w:rPr>
          <w:rFonts w:hint="eastAsia" w:ascii="仿宋_GB2312" w:hAnsi="Times New Roman" w:eastAsia="仿宋_GB2312"/>
          <w:color w:val="000000"/>
          <w:szCs w:val="21"/>
        </w:rPr>
        <w:t>基于能源生产成本和能源消费二重性的可持续发展模型，，《统计与决策》（统计类核心期刊，CSSCI来源期刊），2009(16).(独著)</w:t>
      </w:r>
    </w:p>
    <w:p>
      <w:pPr>
        <w:pStyle w:val="14"/>
        <w:numPr>
          <w:ilvl w:val="0"/>
          <w:numId w:val="2"/>
        </w:numPr>
        <w:autoSpaceDN w:val="0"/>
        <w:spacing w:line="270" w:lineRule="atLeast"/>
        <w:ind w:firstLineChars="0"/>
        <w:jc w:val="both"/>
        <w:rPr>
          <w:rFonts w:ascii="仿宋_GB2312" w:hAnsi="Times New Roman" w:eastAsia="仿宋_GB2312"/>
          <w:color w:val="000000"/>
          <w:szCs w:val="21"/>
        </w:rPr>
      </w:pPr>
      <w:r>
        <w:rPr>
          <w:rFonts w:hint="eastAsia" w:ascii="仿宋_GB2312" w:hAnsi="Times New Roman" w:eastAsia="仿宋_GB2312"/>
          <w:color w:val="000000"/>
          <w:szCs w:val="21"/>
        </w:rPr>
        <w:t>我国节能减排指标体系分析，《煤炭经济研究》（经济类核心期刊），2009(2).(独著)</w:t>
      </w:r>
    </w:p>
    <w:p>
      <w:pPr>
        <w:pStyle w:val="14"/>
        <w:numPr>
          <w:ilvl w:val="0"/>
          <w:numId w:val="2"/>
        </w:numPr>
        <w:autoSpaceDN w:val="0"/>
        <w:spacing w:line="270" w:lineRule="atLeast"/>
        <w:ind w:firstLineChars="0"/>
        <w:jc w:val="both"/>
        <w:rPr>
          <w:rFonts w:ascii="仿宋_GB2312" w:hAnsi="Times New Roman" w:eastAsia="仿宋_GB2312"/>
          <w:color w:val="000000"/>
          <w:szCs w:val="21"/>
        </w:rPr>
      </w:pPr>
      <w:r>
        <w:rPr>
          <w:rFonts w:hint="eastAsia" w:ascii="仿宋_GB2312" w:hAnsi="Times New Roman" w:eastAsia="仿宋_GB2312"/>
          <w:color w:val="000000"/>
          <w:szCs w:val="21"/>
        </w:rPr>
        <w:t>中部六省环境污染与经济增长关系的实证分析，《企业经济》（经济类核心期刊），2008(8).(独著)</w:t>
      </w:r>
    </w:p>
    <w:p>
      <w:pPr>
        <w:pStyle w:val="14"/>
        <w:numPr>
          <w:ilvl w:val="0"/>
          <w:numId w:val="2"/>
        </w:numPr>
        <w:autoSpaceDN w:val="0"/>
        <w:spacing w:line="270" w:lineRule="atLeast"/>
        <w:ind w:firstLineChars="0"/>
        <w:jc w:val="both"/>
        <w:rPr>
          <w:rFonts w:ascii="仿宋_GB2312" w:hAnsi="Times New Roman" w:eastAsia="仿宋_GB2312"/>
          <w:color w:val="000000"/>
          <w:szCs w:val="21"/>
        </w:rPr>
      </w:pPr>
      <w:r>
        <w:rPr>
          <w:rFonts w:hint="eastAsia" w:ascii="仿宋_GB2312" w:hAnsi="Times New Roman" w:eastAsia="仿宋_GB2312"/>
          <w:color w:val="000000"/>
          <w:szCs w:val="21"/>
        </w:rPr>
        <w:t>中国物价波动与经济增长关系的实证分析，《工业技术经济》（经济类核心期刊），2008(6).(独著)</w:t>
      </w:r>
    </w:p>
    <w:p>
      <w:pPr>
        <w:pStyle w:val="14"/>
        <w:numPr>
          <w:ilvl w:val="0"/>
          <w:numId w:val="2"/>
        </w:numPr>
        <w:autoSpaceDN w:val="0"/>
        <w:spacing w:line="270" w:lineRule="atLeast"/>
        <w:ind w:firstLineChars="0"/>
        <w:jc w:val="both"/>
        <w:rPr>
          <w:rFonts w:ascii="仿宋_GB2312" w:hAnsi="Times New Roman" w:eastAsia="仿宋_GB2312"/>
          <w:color w:val="000000"/>
          <w:szCs w:val="21"/>
        </w:rPr>
      </w:pPr>
      <w:r>
        <w:rPr>
          <w:rFonts w:hint="eastAsia" w:ascii="仿宋_GB2312" w:hAnsi="Times New Roman" w:eastAsia="仿宋_GB2312"/>
          <w:color w:val="000000"/>
          <w:szCs w:val="21"/>
        </w:rPr>
        <w:t>中部六省全面小康实现程度的评价与比较，《中国工业经济》(CCSCI来源期刊,中文核心期刊工业经济类第1名),2007(3).(第二作者)</w:t>
      </w:r>
    </w:p>
    <w:p>
      <w:pPr>
        <w:autoSpaceDN w:val="0"/>
        <w:spacing w:line="270" w:lineRule="atLeast"/>
        <w:ind w:firstLine="560"/>
        <w:jc w:val="both"/>
        <w:rPr>
          <w:rFonts w:ascii="仿宋_GB2312" w:hAnsi="Times New Roman" w:eastAsia="仿宋_GB2312"/>
          <w:b/>
          <w:color w:val="000000"/>
          <w:szCs w:val="21"/>
        </w:rPr>
      </w:pPr>
      <w:r>
        <w:rPr>
          <w:rFonts w:hint="eastAsia" w:ascii="仿宋_GB2312" w:hAnsi="Times New Roman" w:eastAsia="仿宋_GB2312"/>
          <w:b/>
          <w:color w:val="000000"/>
          <w:szCs w:val="21"/>
        </w:rPr>
        <w:t>4.主编参编的专著2部</w:t>
      </w:r>
    </w:p>
    <w:p>
      <w:pPr>
        <w:pStyle w:val="14"/>
        <w:numPr>
          <w:ilvl w:val="0"/>
          <w:numId w:val="3"/>
        </w:numPr>
        <w:autoSpaceDN w:val="0"/>
        <w:spacing w:line="270" w:lineRule="atLeast"/>
        <w:ind w:firstLineChars="0"/>
        <w:jc w:val="both"/>
        <w:rPr>
          <w:rFonts w:ascii="仿宋_GB2312" w:hAnsi="Times New Roman" w:eastAsia="仿宋_GB2312"/>
          <w:color w:val="000000"/>
          <w:szCs w:val="21"/>
        </w:rPr>
      </w:pPr>
      <w:r>
        <w:rPr>
          <w:rFonts w:hint="eastAsia" w:ascii="仿宋_GB2312" w:hAnsi="Times New Roman" w:eastAsia="仿宋_GB2312"/>
          <w:color w:val="000000"/>
          <w:szCs w:val="21"/>
        </w:rPr>
        <w:t>《河南省节能减排数量分析与实现路径研究》,中国工商出版社,2013年6月(ISBN 978-7-80215-623-4/TK.1)(第一主编,23万字)</w:t>
      </w:r>
    </w:p>
    <w:p>
      <w:pPr>
        <w:pStyle w:val="14"/>
        <w:numPr>
          <w:ilvl w:val="0"/>
          <w:numId w:val="3"/>
        </w:numPr>
        <w:autoSpaceDN w:val="0"/>
        <w:spacing w:line="270" w:lineRule="atLeast"/>
        <w:ind w:firstLineChars="0"/>
        <w:jc w:val="both"/>
        <w:rPr>
          <w:rFonts w:ascii="仿宋_GB2312" w:hAnsi="Times New Roman" w:eastAsia="仿宋_GB2312"/>
          <w:color w:val="000000"/>
          <w:szCs w:val="21"/>
        </w:rPr>
      </w:pPr>
      <w:r>
        <w:rPr>
          <w:rFonts w:hint="eastAsia" w:ascii="仿宋_GB2312" w:hAnsi="Times New Roman" w:eastAsia="仿宋_GB2312"/>
          <w:color w:val="000000"/>
          <w:szCs w:val="21"/>
        </w:rPr>
        <w:t>《中部六省生态文明建设目标体系与测度研究》,中国市场出版社,2015年12月(ISBN 9787-7-5092-1457-2/X321.2)(第一主编,22万字)</w:t>
      </w:r>
    </w:p>
    <w:p>
      <w:pPr>
        <w:autoSpaceDN w:val="0"/>
        <w:spacing w:line="270" w:lineRule="atLeast"/>
        <w:ind w:firstLine="560"/>
        <w:jc w:val="both"/>
        <w:rPr>
          <w:rFonts w:ascii="仿宋_GB2312" w:hAnsi="Times New Roman" w:eastAsia="仿宋_GB2312"/>
          <w:color w:val="000000"/>
          <w:szCs w:val="21"/>
        </w:rPr>
      </w:pPr>
    </w:p>
    <w:p>
      <w:pPr>
        <w:autoSpaceDN w:val="0"/>
        <w:spacing w:line="270" w:lineRule="atLeast"/>
        <w:ind w:firstLine="560"/>
        <w:jc w:val="both"/>
        <w:rPr>
          <w:rFonts w:ascii="仿宋_GB2312" w:hAnsi="Times New Roman" w:eastAsia="仿宋_GB2312"/>
          <w:color w:val="000000"/>
          <w:szCs w:val="21"/>
        </w:rPr>
      </w:pPr>
      <w:r>
        <w:rPr>
          <w:rFonts w:hint="eastAsia" w:ascii="仿宋_GB2312" w:hAnsi="Times New Roman" w:eastAsia="仿宋_GB2312"/>
          <w:color w:val="000000"/>
          <w:szCs w:val="21"/>
        </w:rPr>
        <w:t>联系方式：0371－62601900；手机：15003826359</w:t>
      </w:r>
    </w:p>
    <w:p>
      <w:pPr>
        <w:autoSpaceDN w:val="0"/>
        <w:spacing w:line="270" w:lineRule="atLeast"/>
        <w:ind w:firstLine="560"/>
        <w:jc w:val="both"/>
        <w:rPr>
          <w:rFonts w:ascii="仿宋_GB2312" w:hAnsi="Times New Roman" w:eastAsia="仿宋_GB2312"/>
          <w:color w:val="000000"/>
          <w:szCs w:val="21"/>
        </w:rPr>
      </w:pPr>
      <w:r>
        <w:rPr>
          <w:rFonts w:hint="eastAsia" w:ascii="仿宋_GB2312" w:hAnsi="Times New Roman" w:eastAsia="仿宋_GB2312"/>
          <w:color w:val="000000"/>
          <w:szCs w:val="21"/>
        </w:rPr>
        <w:t>E-mail：</w:t>
      </w:r>
      <w:r>
        <w:fldChar w:fldCharType="begin"/>
      </w:r>
      <w:r>
        <w:instrText xml:space="preserve"> HYPERLINK "mailto:yanpeng1682@sina.com" </w:instrText>
      </w:r>
      <w:r>
        <w:fldChar w:fldCharType="separate"/>
      </w:r>
      <w:r>
        <w:rPr>
          <w:rStyle w:val="10"/>
          <w:rFonts w:hint="eastAsia" w:ascii="仿宋_GB2312" w:hAnsi="Times New Roman" w:eastAsia="仿宋_GB2312"/>
          <w:szCs w:val="21"/>
        </w:rPr>
        <w:t>yanpeng1682@sina.com</w:t>
      </w:r>
      <w:r>
        <w:rPr>
          <w:rStyle w:val="10"/>
          <w:rFonts w:hint="eastAsia" w:ascii="仿宋_GB2312" w:hAnsi="Times New Roman" w:eastAsia="仿宋_GB2312"/>
          <w:szCs w:val="21"/>
        </w:rPr>
        <w:fldChar w:fldCharType="end"/>
      </w:r>
    </w:p>
    <w:p>
      <w:pPr>
        <w:autoSpaceDN w:val="0"/>
        <w:spacing w:line="270" w:lineRule="atLeast"/>
        <w:ind w:firstLine="560"/>
        <w:jc w:val="both"/>
        <w:rPr>
          <w:rFonts w:ascii="仿宋_GB2312" w:hAnsi="Times New Roman" w:eastAsia="仿宋_GB2312"/>
          <w:color w:val="000000"/>
          <w:szCs w:val="21"/>
        </w:rPr>
      </w:pPr>
      <w:r>
        <w:rPr>
          <w:rFonts w:hint="eastAsia" w:ascii="仿宋_GB2312" w:hAnsi="Times New Roman" w:eastAsia="仿宋_GB2312"/>
          <w:color w:val="000000"/>
          <w:szCs w:val="21"/>
        </w:rPr>
        <w:t>QQ：39867866@qq.com</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lang w:val="zh-CN"/>
      </w:rPr>
      <w:t>2</w:t>
    </w:r>
    <w:r>
      <w:rPr>
        <w:rFonts w:ascii="Times New Roman" w:hAnsi="Times New Roman"/>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3291B"/>
    <w:multiLevelType w:val="multilevel"/>
    <w:tmpl w:val="1953291B"/>
    <w:lvl w:ilvl="0" w:tentative="0">
      <w:start w:val="1"/>
      <w:numFmt w:val="decimal"/>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242E3663"/>
    <w:multiLevelType w:val="multilevel"/>
    <w:tmpl w:val="242E3663"/>
    <w:lvl w:ilvl="0" w:tentative="0">
      <w:start w:val="1"/>
      <w:numFmt w:val="decimal"/>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66632685"/>
    <w:multiLevelType w:val="multilevel"/>
    <w:tmpl w:val="66632685"/>
    <w:lvl w:ilvl="0" w:tentative="0">
      <w:start w:val="1"/>
      <w:numFmt w:val="decimal"/>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772F8"/>
    <w:rsid w:val="000034CE"/>
    <w:rsid w:val="00007C0E"/>
    <w:rsid w:val="000224AF"/>
    <w:rsid w:val="00052BAE"/>
    <w:rsid w:val="00052E17"/>
    <w:rsid w:val="00053929"/>
    <w:rsid w:val="0006567B"/>
    <w:rsid w:val="000674D1"/>
    <w:rsid w:val="000734D9"/>
    <w:rsid w:val="00075FE6"/>
    <w:rsid w:val="000761F9"/>
    <w:rsid w:val="000A5B7D"/>
    <w:rsid w:val="000B33A7"/>
    <w:rsid w:val="000B687A"/>
    <w:rsid w:val="000F73F0"/>
    <w:rsid w:val="001370FF"/>
    <w:rsid w:val="001545E6"/>
    <w:rsid w:val="00160A04"/>
    <w:rsid w:val="00162A16"/>
    <w:rsid w:val="00165E2B"/>
    <w:rsid w:val="0017108A"/>
    <w:rsid w:val="001717D8"/>
    <w:rsid w:val="001B0B56"/>
    <w:rsid w:val="001B37A4"/>
    <w:rsid w:val="001B6D1D"/>
    <w:rsid w:val="001C4DE0"/>
    <w:rsid w:val="001D03E0"/>
    <w:rsid w:val="001E409C"/>
    <w:rsid w:val="001E738E"/>
    <w:rsid w:val="00221730"/>
    <w:rsid w:val="00237EE4"/>
    <w:rsid w:val="0024426D"/>
    <w:rsid w:val="00262C6F"/>
    <w:rsid w:val="00266E31"/>
    <w:rsid w:val="00287450"/>
    <w:rsid w:val="00290A51"/>
    <w:rsid w:val="002914A1"/>
    <w:rsid w:val="002A12C2"/>
    <w:rsid w:val="002C4055"/>
    <w:rsid w:val="002C58A9"/>
    <w:rsid w:val="002C667A"/>
    <w:rsid w:val="002D25B7"/>
    <w:rsid w:val="002D6021"/>
    <w:rsid w:val="002E1802"/>
    <w:rsid w:val="002F5D73"/>
    <w:rsid w:val="002F7F26"/>
    <w:rsid w:val="003107A6"/>
    <w:rsid w:val="0032430F"/>
    <w:rsid w:val="00324CF3"/>
    <w:rsid w:val="00336EB1"/>
    <w:rsid w:val="0034001A"/>
    <w:rsid w:val="00345255"/>
    <w:rsid w:val="00353F0A"/>
    <w:rsid w:val="00355983"/>
    <w:rsid w:val="003616E3"/>
    <w:rsid w:val="00367E2B"/>
    <w:rsid w:val="0037245F"/>
    <w:rsid w:val="003737E4"/>
    <w:rsid w:val="00383A76"/>
    <w:rsid w:val="0039484C"/>
    <w:rsid w:val="00396046"/>
    <w:rsid w:val="003A5F0A"/>
    <w:rsid w:val="003C1D1F"/>
    <w:rsid w:val="003E5A44"/>
    <w:rsid w:val="003F2C12"/>
    <w:rsid w:val="003F60E2"/>
    <w:rsid w:val="003F73DC"/>
    <w:rsid w:val="004104B3"/>
    <w:rsid w:val="004167BD"/>
    <w:rsid w:val="00420044"/>
    <w:rsid w:val="004438F5"/>
    <w:rsid w:val="00447E76"/>
    <w:rsid w:val="00456A74"/>
    <w:rsid w:val="00471B0C"/>
    <w:rsid w:val="004B4458"/>
    <w:rsid w:val="004C759D"/>
    <w:rsid w:val="004D44D2"/>
    <w:rsid w:val="00503434"/>
    <w:rsid w:val="005041E1"/>
    <w:rsid w:val="00515BC8"/>
    <w:rsid w:val="00521734"/>
    <w:rsid w:val="00524949"/>
    <w:rsid w:val="0055543C"/>
    <w:rsid w:val="0055774C"/>
    <w:rsid w:val="00572068"/>
    <w:rsid w:val="005759C2"/>
    <w:rsid w:val="00580558"/>
    <w:rsid w:val="00584DE3"/>
    <w:rsid w:val="005971E9"/>
    <w:rsid w:val="005B55D1"/>
    <w:rsid w:val="005C5FC1"/>
    <w:rsid w:val="005D436C"/>
    <w:rsid w:val="005F156A"/>
    <w:rsid w:val="0062004D"/>
    <w:rsid w:val="00625389"/>
    <w:rsid w:val="00655B06"/>
    <w:rsid w:val="00673F44"/>
    <w:rsid w:val="00682914"/>
    <w:rsid w:val="00686BFB"/>
    <w:rsid w:val="00691591"/>
    <w:rsid w:val="006A1D2B"/>
    <w:rsid w:val="006A3AD4"/>
    <w:rsid w:val="006C0FF0"/>
    <w:rsid w:val="006C4B98"/>
    <w:rsid w:val="006D2EFF"/>
    <w:rsid w:val="006D75C2"/>
    <w:rsid w:val="006E4912"/>
    <w:rsid w:val="006F7C8C"/>
    <w:rsid w:val="007030D6"/>
    <w:rsid w:val="007210C4"/>
    <w:rsid w:val="00741BC6"/>
    <w:rsid w:val="0076642F"/>
    <w:rsid w:val="007734D2"/>
    <w:rsid w:val="00796F08"/>
    <w:rsid w:val="0079796D"/>
    <w:rsid w:val="007A73BF"/>
    <w:rsid w:val="007A7789"/>
    <w:rsid w:val="007A7F8C"/>
    <w:rsid w:val="007B2248"/>
    <w:rsid w:val="007C5107"/>
    <w:rsid w:val="007D02DE"/>
    <w:rsid w:val="007F11B3"/>
    <w:rsid w:val="00813844"/>
    <w:rsid w:val="0083274B"/>
    <w:rsid w:val="00841C56"/>
    <w:rsid w:val="008725C5"/>
    <w:rsid w:val="0088166F"/>
    <w:rsid w:val="00887651"/>
    <w:rsid w:val="008A0C13"/>
    <w:rsid w:val="008D2244"/>
    <w:rsid w:val="008D4E5E"/>
    <w:rsid w:val="0090131C"/>
    <w:rsid w:val="00906D6F"/>
    <w:rsid w:val="00915090"/>
    <w:rsid w:val="009223A6"/>
    <w:rsid w:val="00923BB6"/>
    <w:rsid w:val="00926296"/>
    <w:rsid w:val="00946FDE"/>
    <w:rsid w:val="009527C7"/>
    <w:rsid w:val="0096699A"/>
    <w:rsid w:val="009772F8"/>
    <w:rsid w:val="009B14C4"/>
    <w:rsid w:val="009B325C"/>
    <w:rsid w:val="009D3AD5"/>
    <w:rsid w:val="009E3F14"/>
    <w:rsid w:val="00A00F9F"/>
    <w:rsid w:val="00A10E31"/>
    <w:rsid w:val="00A400AC"/>
    <w:rsid w:val="00A43792"/>
    <w:rsid w:val="00A439CE"/>
    <w:rsid w:val="00A46225"/>
    <w:rsid w:val="00A57217"/>
    <w:rsid w:val="00A72260"/>
    <w:rsid w:val="00A81375"/>
    <w:rsid w:val="00A91042"/>
    <w:rsid w:val="00AA630D"/>
    <w:rsid w:val="00AC6423"/>
    <w:rsid w:val="00AD0151"/>
    <w:rsid w:val="00AD1C28"/>
    <w:rsid w:val="00AE0049"/>
    <w:rsid w:val="00B05485"/>
    <w:rsid w:val="00B15D4A"/>
    <w:rsid w:val="00B26479"/>
    <w:rsid w:val="00B27112"/>
    <w:rsid w:val="00B275FB"/>
    <w:rsid w:val="00B511C0"/>
    <w:rsid w:val="00B51DE4"/>
    <w:rsid w:val="00B51FFB"/>
    <w:rsid w:val="00B543F6"/>
    <w:rsid w:val="00B5546E"/>
    <w:rsid w:val="00B63C49"/>
    <w:rsid w:val="00B658BC"/>
    <w:rsid w:val="00B7226A"/>
    <w:rsid w:val="00BA65CE"/>
    <w:rsid w:val="00BB0168"/>
    <w:rsid w:val="00BB696D"/>
    <w:rsid w:val="00BC388C"/>
    <w:rsid w:val="00BC3CC1"/>
    <w:rsid w:val="00BC7E04"/>
    <w:rsid w:val="00BF5153"/>
    <w:rsid w:val="00BF5A69"/>
    <w:rsid w:val="00C02C3D"/>
    <w:rsid w:val="00C0499D"/>
    <w:rsid w:val="00C6683B"/>
    <w:rsid w:val="00C67515"/>
    <w:rsid w:val="00C73B0E"/>
    <w:rsid w:val="00CA7CBB"/>
    <w:rsid w:val="00CB5F81"/>
    <w:rsid w:val="00CC26F0"/>
    <w:rsid w:val="00CF0FA1"/>
    <w:rsid w:val="00D002ED"/>
    <w:rsid w:val="00D0658C"/>
    <w:rsid w:val="00D23495"/>
    <w:rsid w:val="00D56F51"/>
    <w:rsid w:val="00D73224"/>
    <w:rsid w:val="00D766AF"/>
    <w:rsid w:val="00DD16BB"/>
    <w:rsid w:val="00DE523F"/>
    <w:rsid w:val="00DF2ADD"/>
    <w:rsid w:val="00E07CBB"/>
    <w:rsid w:val="00E2355B"/>
    <w:rsid w:val="00E34601"/>
    <w:rsid w:val="00E3724A"/>
    <w:rsid w:val="00E41988"/>
    <w:rsid w:val="00E45899"/>
    <w:rsid w:val="00E73529"/>
    <w:rsid w:val="00E87FD3"/>
    <w:rsid w:val="00EC28FA"/>
    <w:rsid w:val="00EF1648"/>
    <w:rsid w:val="00F0192E"/>
    <w:rsid w:val="00F055B0"/>
    <w:rsid w:val="00F2308D"/>
    <w:rsid w:val="00F37492"/>
    <w:rsid w:val="00F37867"/>
    <w:rsid w:val="00F513A7"/>
    <w:rsid w:val="00F928F9"/>
    <w:rsid w:val="00F94ED7"/>
    <w:rsid w:val="00F95445"/>
    <w:rsid w:val="00FA2CAB"/>
    <w:rsid w:val="00FA4F4D"/>
    <w:rsid w:val="00FA6D8C"/>
    <w:rsid w:val="00FB329A"/>
    <w:rsid w:val="00FD3AA5"/>
    <w:rsid w:val="00FE79ED"/>
    <w:rsid w:val="00FF18C7"/>
    <w:rsid w:val="00FF3668"/>
    <w:rsid w:val="00FF654B"/>
    <w:rsid w:val="528D6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Calibri" w:hAnsi="Calibri" w:eastAsia="宋体" w:cs="Times New Roman"/>
      <w:kern w:val="2"/>
      <w:sz w:val="21"/>
      <w:szCs w:val="22"/>
      <w:lang w:val="en-US" w:eastAsia="zh-CN" w:bidi="ar-SA"/>
    </w:rPr>
  </w:style>
  <w:style w:type="paragraph" w:styleId="2">
    <w:name w:val="heading 3"/>
    <w:basedOn w:val="1"/>
    <w:next w:val="1"/>
    <w:link w:val="15"/>
    <w:qFormat/>
    <w:uiPriority w:val="9"/>
    <w:pPr>
      <w:widowControl/>
      <w:spacing w:before="100" w:beforeAutospacing="1" w:after="100" w:afterAutospacing="1" w:line="240" w:lineRule="auto"/>
      <w:outlineLvl w:val="2"/>
    </w:pPr>
    <w:rPr>
      <w:rFonts w:ascii="宋体" w:hAnsi="宋体" w:cs="宋体"/>
      <w:b/>
      <w:bCs/>
      <w:kern w:val="0"/>
      <w:sz w:val="27"/>
      <w:szCs w:val="27"/>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7"/>
    <w:semiHidden/>
    <w:unhideWhenUsed/>
    <w:uiPriority w:val="99"/>
    <w:pPr>
      <w:spacing w:line="240" w:lineRule="auto"/>
    </w:pPr>
    <w:rPr>
      <w:sz w:val="18"/>
      <w:szCs w:val="18"/>
    </w:rPr>
  </w:style>
  <w:style w:type="paragraph" w:styleId="4">
    <w:name w:val="footer"/>
    <w:basedOn w:val="1"/>
    <w:link w:val="12"/>
    <w:unhideWhenUsed/>
    <w:qFormat/>
    <w:uiPriority w:val="99"/>
    <w:pPr>
      <w:tabs>
        <w:tab w:val="center" w:pos="4153"/>
        <w:tab w:val="right" w:pos="8306"/>
      </w:tabs>
      <w:snapToGrid w:val="0"/>
      <w:spacing w:line="240" w:lineRule="auto"/>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Normal (Web)"/>
    <w:basedOn w:val="1"/>
    <w:semiHidden/>
    <w:unhideWhenUsed/>
    <w:qFormat/>
    <w:uiPriority w:val="99"/>
    <w:pPr>
      <w:widowControl/>
      <w:spacing w:before="100" w:beforeAutospacing="1" w:after="100" w:afterAutospacing="1" w:line="240" w:lineRule="auto"/>
    </w:pPr>
    <w:rPr>
      <w:rFonts w:ascii="宋体" w:hAnsi="宋体" w:cs="宋体"/>
      <w:kern w:val="0"/>
      <w:sz w:val="24"/>
      <w:szCs w:val="24"/>
    </w:rPr>
  </w:style>
  <w:style w:type="character" w:styleId="9">
    <w:name w:val="Emphasis"/>
    <w:basedOn w:val="8"/>
    <w:qFormat/>
    <w:uiPriority w:val="20"/>
    <w:rPr>
      <w:i/>
      <w:iCs/>
    </w:rPr>
  </w:style>
  <w:style w:type="character" w:styleId="10">
    <w:name w:val="Hyperlink"/>
    <w:basedOn w:val="8"/>
    <w:unhideWhenUsed/>
    <w:uiPriority w:val="99"/>
    <w:rPr>
      <w:color w:val="0000FF"/>
      <w:u w:val="none"/>
    </w:rPr>
  </w:style>
  <w:style w:type="character" w:customStyle="1" w:styleId="11">
    <w:name w:val="页眉 Char"/>
    <w:basedOn w:val="8"/>
    <w:link w:val="5"/>
    <w:uiPriority w:val="99"/>
    <w:rPr>
      <w:sz w:val="18"/>
      <w:szCs w:val="18"/>
    </w:rPr>
  </w:style>
  <w:style w:type="character" w:customStyle="1" w:styleId="12">
    <w:name w:val="页脚 Char"/>
    <w:basedOn w:val="8"/>
    <w:link w:val="4"/>
    <w:uiPriority w:val="99"/>
    <w:rPr>
      <w:sz w:val="18"/>
      <w:szCs w:val="18"/>
    </w:rPr>
  </w:style>
  <w:style w:type="character" w:customStyle="1" w:styleId="13">
    <w:name w:val="datatitle1"/>
    <w:basedOn w:val="8"/>
    <w:uiPriority w:val="0"/>
    <w:rPr>
      <w:b/>
      <w:bCs/>
      <w:color w:val="10619F"/>
      <w:sz w:val="21"/>
      <w:szCs w:val="21"/>
    </w:rPr>
  </w:style>
  <w:style w:type="paragraph" w:styleId="14">
    <w:name w:val="List Paragraph"/>
    <w:basedOn w:val="1"/>
    <w:qFormat/>
    <w:uiPriority w:val="34"/>
    <w:pPr>
      <w:ind w:firstLine="420" w:firstLineChars="200"/>
    </w:pPr>
  </w:style>
  <w:style w:type="character" w:customStyle="1" w:styleId="15">
    <w:name w:val="标题 3 Char"/>
    <w:basedOn w:val="8"/>
    <w:link w:val="2"/>
    <w:qFormat/>
    <w:uiPriority w:val="9"/>
    <w:rPr>
      <w:rFonts w:ascii="宋体" w:hAnsi="宋体" w:cs="宋体"/>
      <w:b/>
      <w:bCs/>
      <w:sz w:val="27"/>
      <w:szCs w:val="27"/>
    </w:rPr>
  </w:style>
  <w:style w:type="character" w:customStyle="1" w:styleId="16">
    <w:name w:val="apple-converted-space"/>
    <w:basedOn w:val="8"/>
    <w:qFormat/>
    <w:uiPriority w:val="0"/>
  </w:style>
  <w:style w:type="character" w:customStyle="1" w:styleId="17">
    <w:name w:val="批注框文本 Char"/>
    <w:basedOn w:val="8"/>
    <w:link w:val="3"/>
    <w:semiHidden/>
    <w:qFormat/>
    <w:uiPriority w:val="99"/>
    <w:rPr>
      <w:kern w:val="2"/>
      <w:sz w:val="18"/>
      <w:szCs w:val="18"/>
    </w:rPr>
  </w:style>
  <w:style w:type="paragraph" w:customStyle="1" w:styleId="18">
    <w:name w:val="_Style 5"/>
    <w:basedOn w:val="1"/>
    <w:uiPriority w:val="0"/>
    <w:pPr>
      <w:spacing w:line="240" w:lineRule="auto"/>
      <w:jc w:val="both"/>
    </w:pPr>
    <w:rPr>
      <w:rFonts w:ascii="Times New Roman" w:hAnsi="Times New Roman" w:eastAsia="仿宋_GB231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2</Pages>
  <Words>288</Words>
  <Characters>1646</Characters>
  <Lines>13</Lines>
  <Paragraphs>3</Paragraphs>
  <TotalTime>122</TotalTime>
  <ScaleCrop>false</ScaleCrop>
  <LinksUpToDate>false</LinksUpToDate>
  <CharactersWithSpaces>1931</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2014-10-13T12:51:00Z</dcterms:created>
  <dc:creator>雨林木风</dc:creator>
  <cp:lastModifiedBy>qch01</cp:lastModifiedBy>
  <dcterms:modified xsi:type="dcterms:W3CDTF">2019-09-25T02:25:54Z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